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832E15" w14:textId="77777777" w:rsidR="00965CD9" w:rsidRPr="00965CD9" w:rsidRDefault="00965CD9" w:rsidP="00886677">
      <w:pPr>
        <w:pStyle w:val="SensirionTitle"/>
        <w:jc w:val="both"/>
        <w:rPr>
          <w:lang w:val="en-US"/>
        </w:rPr>
      </w:pPr>
      <w:bookmarkStart w:id="0" w:name="_GoBack"/>
      <w:bookmarkEnd w:id="0"/>
      <w:r w:rsidRPr="00965CD9">
        <w:rPr>
          <w:lang w:val="en-US"/>
        </w:rPr>
        <w:t>Modular Evaluation</w:t>
      </w:r>
    </w:p>
    <w:p w14:paraId="648B92A0" w14:textId="77777777" w:rsidR="00965CD9" w:rsidRPr="00965CD9" w:rsidRDefault="00965CD9" w:rsidP="00886677">
      <w:pPr>
        <w:pStyle w:val="SensirionTitle"/>
        <w:jc w:val="both"/>
        <w:rPr>
          <w:lang w:val="en-US"/>
        </w:rPr>
      </w:pPr>
      <w:r>
        <w:rPr>
          <w:lang w:val="en-US"/>
        </w:rPr>
        <w:t>An Efficient Approach to Obtain an MID Approval for Measuring I</w:t>
      </w:r>
      <w:r w:rsidRPr="00965CD9">
        <w:rPr>
          <w:lang w:val="en-US"/>
        </w:rPr>
        <w:t>nstruments</w:t>
      </w:r>
    </w:p>
    <w:p w14:paraId="5984EA67" w14:textId="77777777" w:rsidR="00965CD9" w:rsidRPr="00965CD9" w:rsidRDefault="00965CD9" w:rsidP="00886677">
      <w:pPr>
        <w:jc w:val="both"/>
        <w:rPr>
          <w:lang w:val="en-US"/>
        </w:rPr>
      </w:pPr>
    </w:p>
    <w:p w14:paraId="5B2148EF" w14:textId="77777777" w:rsidR="00965CD9" w:rsidRPr="00965CD9" w:rsidRDefault="00965CD9" w:rsidP="00886677">
      <w:pPr>
        <w:jc w:val="both"/>
        <w:rPr>
          <w:b/>
          <w:lang w:val="en-US"/>
        </w:rPr>
      </w:pPr>
      <w:r w:rsidRPr="00965CD9">
        <w:rPr>
          <w:b/>
          <w:lang w:val="en-US"/>
        </w:rPr>
        <w:t>For manufacturers</w:t>
      </w:r>
      <w:r w:rsidR="00E3171A">
        <w:rPr>
          <w:b/>
          <w:lang w:val="en-US"/>
        </w:rPr>
        <w:t>,</w:t>
      </w:r>
      <w:r w:rsidRPr="00965CD9">
        <w:rPr>
          <w:b/>
          <w:lang w:val="en-US"/>
        </w:rPr>
        <w:t xml:space="preserve"> </w:t>
      </w:r>
      <w:r w:rsidR="00E3171A">
        <w:rPr>
          <w:b/>
          <w:lang w:val="en-US"/>
        </w:rPr>
        <w:t xml:space="preserve">the </w:t>
      </w:r>
      <w:r w:rsidRPr="00965CD9">
        <w:rPr>
          <w:b/>
          <w:lang w:val="en-US"/>
        </w:rPr>
        <w:t xml:space="preserve">time to market for their measuring instruments can be crucial, </w:t>
      </w:r>
      <w:r w:rsidR="00E3171A">
        <w:rPr>
          <w:b/>
          <w:lang w:val="en-US"/>
        </w:rPr>
        <w:t>particularly</w:t>
      </w:r>
      <w:r w:rsidR="00E3171A" w:rsidRPr="00965CD9">
        <w:rPr>
          <w:b/>
          <w:lang w:val="en-US"/>
        </w:rPr>
        <w:t xml:space="preserve"> </w:t>
      </w:r>
      <w:r w:rsidRPr="00965CD9">
        <w:rPr>
          <w:b/>
          <w:lang w:val="en-US"/>
        </w:rPr>
        <w:t>during massive and time</w:t>
      </w:r>
      <w:r w:rsidR="00E3171A">
        <w:rPr>
          <w:b/>
          <w:lang w:val="en-US"/>
        </w:rPr>
        <w:t>-</w:t>
      </w:r>
      <w:r w:rsidRPr="00965CD9">
        <w:rPr>
          <w:b/>
          <w:lang w:val="en-US"/>
        </w:rPr>
        <w:t xml:space="preserve">limited roll-out programs, as </w:t>
      </w:r>
      <w:r w:rsidR="00746448">
        <w:rPr>
          <w:b/>
          <w:lang w:val="en-US"/>
        </w:rPr>
        <w:t xml:space="preserve">are </w:t>
      </w:r>
      <w:r w:rsidRPr="00965CD9">
        <w:rPr>
          <w:b/>
          <w:lang w:val="en-US"/>
        </w:rPr>
        <w:t xml:space="preserve">currently taking place for smart meters in several European countries. Typically, a considerable fraction of the time to market for measuring instruments is </w:t>
      </w:r>
      <w:r w:rsidR="00E3171A">
        <w:rPr>
          <w:b/>
          <w:lang w:val="en-US"/>
        </w:rPr>
        <w:t>taken up</w:t>
      </w:r>
      <w:r w:rsidR="00E3171A" w:rsidRPr="00965CD9">
        <w:rPr>
          <w:b/>
          <w:lang w:val="en-US"/>
        </w:rPr>
        <w:t xml:space="preserve"> </w:t>
      </w:r>
      <w:r w:rsidRPr="00965CD9">
        <w:rPr>
          <w:b/>
          <w:lang w:val="en-US"/>
        </w:rPr>
        <w:t xml:space="preserve">by the MID approval process. A modular evaluation approach, based on the employment of Evaluation and Parts </w:t>
      </w:r>
      <w:r w:rsidR="008A6027">
        <w:rPr>
          <w:b/>
          <w:lang w:val="en-US"/>
        </w:rPr>
        <w:t>C</w:t>
      </w:r>
      <w:r w:rsidRPr="00965CD9">
        <w:rPr>
          <w:b/>
          <w:lang w:val="en-US"/>
        </w:rPr>
        <w:t xml:space="preserve">ertificates for single parts, has great potential </w:t>
      </w:r>
      <w:r w:rsidR="009A4DEE">
        <w:rPr>
          <w:b/>
          <w:lang w:val="en-US"/>
        </w:rPr>
        <w:t>in</w:t>
      </w:r>
      <w:r w:rsidR="009A4DEE" w:rsidRPr="00965CD9">
        <w:rPr>
          <w:b/>
          <w:lang w:val="en-US"/>
        </w:rPr>
        <w:t xml:space="preserve"> </w:t>
      </w:r>
      <w:r w:rsidRPr="00965CD9">
        <w:rPr>
          <w:b/>
          <w:lang w:val="en-US"/>
        </w:rPr>
        <w:t>efficient</w:t>
      </w:r>
      <w:r w:rsidR="009A4DEE">
        <w:rPr>
          <w:b/>
          <w:lang w:val="en-US"/>
        </w:rPr>
        <w:t xml:space="preserve">, </w:t>
      </w:r>
      <w:r w:rsidRPr="00965CD9">
        <w:rPr>
          <w:b/>
          <w:lang w:val="en-US"/>
        </w:rPr>
        <w:t xml:space="preserve">cost-saving MID approval of </w:t>
      </w:r>
      <w:r>
        <w:rPr>
          <w:b/>
          <w:lang w:val="en-US"/>
        </w:rPr>
        <w:t>complete measuring instruments.</w:t>
      </w:r>
    </w:p>
    <w:p w14:paraId="26F7D8A9" w14:textId="77777777" w:rsidR="00965CD9" w:rsidRPr="00965CD9" w:rsidRDefault="00965CD9" w:rsidP="00886677">
      <w:pPr>
        <w:jc w:val="both"/>
        <w:rPr>
          <w:lang w:val="en-US"/>
        </w:rPr>
      </w:pPr>
    </w:p>
    <w:p w14:paraId="0D3F8B16" w14:textId="77777777" w:rsidR="00965CD9" w:rsidRPr="00965CD9" w:rsidRDefault="00965CD9" w:rsidP="00886677">
      <w:pPr>
        <w:pStyle w:val="SensirionSubtitle"/>
        <w:jc w:val="both"/>
        <w:rPr>
          <w:lang w:val="en-US"/>
        </w:rPr>
      </w:pPr>
      <w:r w:rsidRPr="00965CD9">
        <w:rPr>
          <w:lang w:val="en-US"/>
        </w:rPr>
        <w:t xml:space="preserve">Measuring Instrument Directives </w:t>
      </w:r>
    </w:p>
    <w:p w14:paraId="59C78D9A" w14:textId="77777777" w:rsidR="00965CD9" w:rsidRPr="00965CD9" w:rsidRDefault="00965CD9" w:rsidP="00886677">
      <w:pPr>
        <w:jc w:val="both"/>
        <w:rPr>
          <w:lang w:val="en-US"/>
        </w:rPr>
      </w:pPr>
      <w:r w:rsidRPr="00965CD9">
        <w:rPr>
          <w:lang w:val="en-US"/>
        </w:rPr>
        <w:t>In Europe the legal basis for measuring instruments is set in the Measuring Instrument Directives (MID) of the European Parliament, dating from February 2014. The MID covers the whole approval process, initial verification and putting into use of 10 different types of measuring instruments</w:t>
      </w:r>
      <w:r w:rsidR="00E3171A">
        <w:rPr>
          <w:lang w:val="en-US"/>
        </w:rPr>
        <w:t>;</w:t>
      </w:r>
      <w:r w:rsidRPr="00965CD9">
        <w:rPr>
          <w:lang w:val="en-US"/>
        </w:rPr>
        <w:t xml:space="preserve"> for instance</w:t>
      </w:r>
      <w:r w:rsidR="00E3171A">
        <w:rPr>
          <w:lang w:val="en-US"/>
        </w:rPr>
        <w:t>,</w:t>
      </w:r>
      <w:r w:rsidRPr="00965CD9">
        <w:rPr>
          <w:lang w:val="en-US"/>
        </w:rPr>
        <w:t xml:space="preserve"> electricity, gas, heat </w:t>
      </w:r>
      <w:r w:rsidR="00E3171A">
        <w:rPr>
          <w:lang w:val="en-US"/>
        </w:rPr>
        <w:t>and</w:t>
      </w:r>
      <w:r w:rsidR="00E3171A" w:rsidRPr="00965CD9">
        <w:rPr>
          <w:lang w:val="en-US"/>
        </w:rPr>
        <w:t xml:space="preserve"> </w:t>
      </w:r>
      <w:r w:rsidRPr="00965CD9">
        <w:rPr>
          <w:lang w:val="en-US"/>
        </w:rPr>
        <w:t xml:space="preserve">water meters. Before a measuring instrument </w:t>
      </w:r>
      <w:r w:rsidR="00E3171A">
        <w:rPr>
          <w:lang w:val="en-US"/>
        </w:rPr>
        <w:t>is brought to</w:t>
      </w:r>
      <w:r w:rsidR="00E3171A" w:rsidRPr="00965CD9">
        <w:rPr>
          <w:lang w:val="en-US"/>
        </w:rPr>
        <w:t xml:space="preserve"> </w:t>
      </w:r>
      <w:r w:rsidRPr="00965CD9">
        <w:rPr>
          <w:lang w:val="en-US"/>
        </w:rPr>
        <w:t>the European market</w:t>
      </w:r>
      <w:r w:rsidR="00E3171A">
        <w:rPr>
          <w:lang w:val="en-US"/>
        </w:rPr>
        <w:t>,</w:t>
      </w:r>
      <w:r w:rsidRPr="00965CD9">
        <w:rPr>
          <w:lang w:val="en-US"/>
        </w:rPr>
        <w:t xml:space="preserve"> its compliance with the MID </w:t>
      </w:r>
      <w:r w:rsidR="00E3171A">
        <w:rPr>
          <w:lang w:val="en-US"/>
        </w:rPr>
        <w:t>must</w:t>
      </w:r>
      <w:r w:rsidRPr="00965CD9">
        <w:rPr>
          <w:lang w:val="en-US"/>
        </w:rPr>
        <w:t xml:space="preserve"> be verified by a Notified Body in an extensive approval procedure.</w:t>
      </w:r>
    </w:p>
    <w:p w14:paraId="57903924" w14:textId="77777777" w:rsidR="00965CD9" w:rsidRPr="00965CD9" w:rsidRDefault="00965CD9" w:rsidP="00886677">
      <w:pPr>
        <w:jc w:val="both"/>
        <w:rPr>
          <w:lang w:val="en-US"/>
        </w:rPr>
      </w:pPr>
    </w:p>
    <w:p w14:paraId="52ECFF01" w14:textId="77777777" w:rsidR="00965CD9" w:rsidRPr="00965CD9" w:rsidRDefault="00965CD9" w:rsidP="00886677">
      <w:pPr>
        <w:pStyle w:val="SensirionSubtitle"/>
        <w:jc w:val="both"/>
        <w:rPr>
          <w:lang w:val="en-US"/>
        </w:rPr>
      </w:pPr>
      <w:r w:rsidRPr="00965CD9">
        <w:rPr>
          <w:lang w:val="en-US"/>
        </w:rPr>
        <w:t xml:space="preserve">Modular Evaluation Approach     </w:t>
      </w:r>
    </w:p>
    <w:p w14:paraId="68FFBCE7" w14:textId="77777777" w:rsidR="00965CD9" w:rsidRPr="00965CD9" w:rsidRDefault="00965CD9" w:rsidP="00886677">
      <w:pPr>
        <w:jc w:val="both"/>
        <w:rPr>
          <w:lang w:val="en-US"/>
        </w:rPr>
      </w:pPr>
      <w:r w:rsidRPr="00965CD9">
        <w:rPr>
          <w:lang w:val="en-US"/>
        </w:rPr>
        <w:t>The MID describes the legal approval of complete measuring instruments. However, in practice most of today’s measuring instruments consist of several individual parts</w:t>
      </w:r>
      <w:r w:rsidR="00E3171A">
        <w:rPr>
          <w:lang w:val="en-US"/>
        </w:rPr>
        <w:t xml:space="preserve"> </w:t>
      </w:r>
      <w:r w:rsidRPr="00965CD9">
        <w:rPr>
          <w:lang w:val="en-US"/>
        </w:rPr>
        <w:t xml:space="preserve">from different producers. This </w:t>
      </w:r>
      <w:r w:rsidR="00E3171A">
        <w:rPr>
          <w:lang w:val="en-US"/>
        </w:rPr>
        <w:t>has</w:t>
      </w:r>
      <w:r w:rsidR="00E3171A" w:rsidRPr="00965CD9">
        <w:rPr>
          <w:lang w:val="en-US"/>
        </w:rPr>
        <w:t xml:space="preserve"> </w:t>
      </w:r>
      <w:r w:rsidRPr="00965CD9">
        <w:rPr>
          <w:lang w:val="en-US"/>
        </w:rPr>
        <w:t xml:space="preserve">led to the need for a modular evaluation approach of single parts </w:t>
      </w:r>
      <w:r w:rsidR="00E3171A">
        <w:rPr>
          <w:lang w:val="en-US"/>
        </w:rPr>
        <w:t>that</w:t>
      </w:r>
      <w:r w:rsidR="00E3171A" w:rsidRPr="00965CD9">
        <w:rPr>
          <w:lang w:val="en-US"/>
        </w:rPr>
        <w:t xml:space="preserve"> </w:t>
      </w:r>
      <w:r w:rsidR="009A4DEE">
        <w:rPr>
          <w:lang w:val="en-US"/>
        </w:rPr>
        <w:t>will allow</w:t>
      </w:r>
      <w:r w:rsidRPr="00965CD9">
        <w:rPr>
          <w:lang w:val="en-US"/>
        </w:rPr>
        <w:t xml:space="preserve"> efficient MID approval of complete measuring instruments.</w:t>
      </w:r>
    </w:p>
    <w:p w14:paraId="35FEC734" w14:textId="77777777" w:rsidR="00965CD9" w:rsidRPr="00965CD9" w:rsidRDefault="00965CD9" w:rsidP="00886677">
      <w:pPr>
        <w:jc w:val="both"/>
        <w:rPr>
          <w:lang w:val="en-US"/>
        </w:rPr>
      </w:pPr>
    </w:p>
    <w:p w14:paraId="0A2CF534" w14:textId="77777777" w:rsidR="00965CD9" w:rsidRPr="00965CD9" w:rsidRDefault="00965CD9" w:rsidP="00886677">
      <w:pPr>
        <w:jc w:val="both"/>
        <w:rPr>
          <w:lang w:val="en-US"/>
        </w:rPr>
      </w:pPr>
      <w:r w:rsidRPr="00965CD9">
        <w:rPr>
          <w:lang w:val="en-US"/>
        </w:rPr>
        <w:t xml:space="preserve">WELMEC (Western European Legal Metrology Cooperation), </w:t>
      </w:r>
      <w:r w:rsidR="009A4DEE">
        <w:rPr>
          <w:lang w:val="en-US"/>
        </w:rPr>
        <w:t>which</w:t>
      </w:r>
      <w:r w:rsidRPr="00965CD9">
        <w:rPr>
          <w:lang w:val="en-US"/>
        </w:rPr>
        <w:t xml:space="preserve"> aim</w:t>
      </w:r>
      <w:r w:rsidR="009A4DEE">
        <w:rPr>
          <w:lang w:val="en-US"/>
        </w:rPr>
        <w:t>s</w:t>
      </w:r>
      <w:r w:rsidRPr="00965CD9">
        <w:rPr>
          <w:lang w:val="en-US"/>
        </w:rPr>
        <w:t xml:space="preserve"> </w:t>
      </w:r>
      <w:r w:rsidR="009A4DEE">
        <w:rPr>
          <w:lang w:val="en-US"/>
        </w:rPr>
        <w:t>to</w:t>
      </w:r>
      <w:r w:rsidR="00E3171A" w:rsidRPr="00965CD9">
        <w:rPr>
          <w:lang w:val="en-US"/>
        </w:rPr>
        <w:t xml:space="preserve"> </w:t>
      </w:r>
      <w:r w:rsidRPr="00965CD9">
        <w:rPr>
          <w:lang w:val="en-US"/>
        </w:rPr>
        <w:t xml:space="preserve">establish a harmonized and consistent approach to European legal metrology, has recognized the </w:t>
      </w:r>
      <w:r w:rsidR="009A4DEE">
        <w:rPr>
          <w:lang w:val="en-US"/>
        </w:rPr>
        <w:t>necessity</w:t>
      </w:r>
      <w:r w:rsidR="009A4DEE" w:rsidRPr="00965CD9">
        <w:rPr>
          <w:lang w:val="en-US"/>
        </w:rPr>
        <w:t xml:space="preserve"> </w:t>
      </w:r>
      <w:r w:rsidR="009A4DEE">
        <w:rPr>
          <w:lang w:val="en-US"/>
        </w:rPr>
        <w:t>of</w:t>
      </w:r>
      <w:r w:rsidR="009A4DEE" w:rsidRPr="00965CD9">
        <w:rPr>
          <w:lang w:val="en-US"/>
        </w:rPr>
        <w:t xml:space="preserve"> </w:t>
      </w:r>
      <w:r w:rsidRPr="00965CD9">
        <w:rPr>
          <w:lang w:val="en-US"/>
        </w:rPr>
        <w:t xml:space="preserve">such a modular evaluation approach. </w:t>
      </w:r>
      <w:r w:rsidR="00E3171A">
        <w:rPr>
          <w:lang w:val="en-US"/>
        </w:rPr>
        <w:t>O</w:t>
      </w:r>
      <w:r w:rsidRPr="00965CD9">
        <w:rPr>
          <w:lang w:val="en-US"/>
        </w:rPr>
        <w:t xml:space="preserve">ne of its working groups </w:t>
      </w:r>
      <w:r w:rsidR="00E3171A">
        <w:rPr>
          <w:lang w:val="en-US"/>
        </w:rPr>
        <w:t xml:space="preserve">has </w:t>
      </w:r>
      <w:r w:rsidRPr="00965CD9">
        <w:rPr>
          <w:lang w:val="en-US"/>
        </w:rPr>
        <w:t xml:space="preserve">established the WELMEC Guide 8.8, </w:t>
      </w:r>
      <w:r w:rsidR="00E3171A">
        <w:rPr>
          <w:lang w:val="en-US"/>
        </w:rPr>
        <w:t xml:space="preserve">which </w:t>
      </w:r>
      <w:r w:rsidRPr="00965CD9">
        <w:rPr>
          <w:lang w:val="en-US"/>
        </w:rPr>
        <w:t>describ</w:t>
      </w:r>
      <w:r w:rsidR="00E3171A">
        <w:rPr>
          <w:lang w:val="en-US"/>
        </w:rPr>
        <w:t>es</w:t>
      </w:r>
      <w:r w:rsidRPr="00965CD9">
        <w:rPr>
          <w:lang w:val="en-US"/>
        </w:rPr>
        <w:t xml:space="preserve"> the approval of individual parts </w:t>
      </w:r>
      <w:r w:rsidR="00E3171A">
        <w:rPr>
          <w:lang w:val="en-US"/>
        </w:rPr>
        <w:t>that</w:t>
      </w:r>
      <w:r w:rsidR="00E3171A" w:rsidRPr="00965CD9">
        <w:rPr>
          <w:lang w:val="en-US"/>
        </w:rPr>
        <w:t xml:space="preserve"> </w:t>
      </w:r>
      <w:r w:rsidRPr="00965CD9">
        <w:rPr>
          <w:lang w:val="en-US"/>
        </w:rPr>
        <w:t xml:space="preserve">perform a defined function inside complete measuring instruments. A part evaluation results in either an Evaluation Certificate (EC) or a Parts Certificate (PC). In fact, both documents are identical, except </w:t>
      </w:r>
      <w:r w:rsidR="00E3171A">
        <w:rPr>
          <w:lang w:val="en-US"/>
        </w:rPr>
        <w:t xml:space="preserve">that </w:t>
      </w:r>
      <w:r w:rsidRPr="00965CD9">
        <w:rPr>
          <w:lang w:val="en-US"/>
        </w:rPr>
        <w:t xml:space="preserve">a PC and the corresponding technical documentation can be used freely, </w:t>
      </w:r>
      <w:r w:rsidR="009A4DEE">
        <w:rPr>
          <w:lang w:val="en-US"/>
        </w:rPr>
        <w:t xml:space="preserve">whereas </w:t>
      </w:r>
      <w:r w:rsidRPr="00965CD9">
        <w:rPr>
          <w:lang w:val="en-US"/>
        </w:rPr>
        <w:t>the us</w:t>
      </w:r>
      <w:r w:rsidR="00E3171A">
        <w:rPr>
          <w:lang w:val="en-US"/>
        </w:rPr>
        <w:t>e</w:t>
      </w:r>
      <w:r w:rsidRPr="00965CD9">
        <w:rPr>
          <w:lang w:val="en-US"/>
        </w:rPr>
        <w:t xml:space="preserve"> of an EC</w:t>
      </w:r>
      <w:r w:rsidR="00E3171A">
        <w:rPr>
          <w:lang w:val="en-US"/>
        </w:rPr>
        <w:t xml:space="preserve"> requires</w:t>
      </w:r>
      <w:r w:rsidRPr="00965CD9">
        <w:rPr>
          <w:lang w:val="en-US"/>
        </w:rPr>
        <w:t xml:space="preserve"> the permission of the owner. </w:t>
      </w:r>
    </w:p>
    <w:p w14:paraId="79C78129" w14:textId="77777777" w:rsidR="00965CD9" w:rsidRDefault="00965CD9" w:rsidP="00886677">
      <w:pPr>
        <w:pStyle w:val="SensirionSubtitle"/>
        <w:jc w:val="both"/>
        <w:rPr>
          <w:lang w:val="en-US"/>
        </w:rPr>
      </w:pPr>
    </w:p>
    <w:p w14:paraId="75B307B7" w14:textId="77777777" w:rsidR="0031347F" w:rsidRPr="0031347F" w:rsidRDefault="0031347F" w:rsidP="00886677">
      <w:pPr>
        <w:pStyle w:val="SensirionSubtitle"/>
        <w:jc w:val="both"/>
        <w:rPr>
          <w:b w:val="0"/>
          <w:i/>
          <w:lang w:val="en-US"/>
        </w:rPr>
      </w:pPr>
      <w:r w:rsidRPr="0031347F">
        <w:rPr>
          <w:b w:val="0"/>
          <w:i/>
          <w:lang w:val="en-US"/>
        </w:rPr>
        <w:t>Figure 1: Part evaluation results in either an Evaluation Certificate (EC) or a Parts Certificate (PC).</w:t>
      </w:r>
    </w:p>
    <w:p w14:paraId="703BE134" w14:textId="77777777" w:rsidR="0031347F" w:rsidRPr="00965CD9" w:rsidRDefault="0031347F" w:rsidP="00886677">
      <w:pPr>
        <w:pStyle w:val="SensirionSubtitle"/>
        <w:jc w:val="both"/>
        <w:rPr>
          <w:lang w:val="en-US"/>
        </w:rPr>
      </w:pPr>
    </w:p>
    <w:p w14:paraId="443B6D1E" w14:textId="77777777" w:rsidR="00965CD9" w:rsidRPr="00965CD9" w:rsidRDefault="00965CD9" w:rsidP="00886677">
      <w:pPr>
        <w:pStyle w:val="SensirionSubtitle"/>
        <w:jc w:val="both"/>
        <w:rPr>
          <w:lang w:val="en-US"/>
        </w:rPr>
      </w:pPr>
      <w:r w:rsidRPr="00965CD9">
        <w:rPr>
          <w:lang w:val="en-US"/>
        </w:rPr>
        <w:t xml:space="preserve">Benefits for All Players </w:t>
      </w:r>
    </w:p>
    <w:p w14:paraId="36D60106" w14:textId="77777777" w:rsidR="00965CD9" w:rsidRPr="00965CD9" w:rsidRDefault="00965CD9" w:rsidP="00886677">
      <w:pPr>
        <w:jc w:val="both"/>
        <w:rPr>
          <w:lang w:val="en-US"/>
        </w:rPr>
      </w:pPr>
      <w:r w:rsidRPr="00965CD9">
        <w:rPr>
          <w:lang w:val="en-US"/>
        </w:rPr>
        <w:t xml:space="preserve">If a part has an EC or PC, it means that the essential requirements of the MID for this particular part are fulfilled. </w:t>
      </w:r>
      <w:r w:rsidR="00E3171A" w:rsidRPr="00965CD9">
        <w:rPr>
          <w:lang w:val="en-US"/>
        </w:rPr>
        <w:t>ECs and PCs of built-in parts can be used</w:t>
      </w:r>
      <w:r w:rsidR="00E3171A">
        <w:rPr>
          <w:lang w:val="en-US"/>
        </w:rPr>
        <w:t xml:space="preserve"> d</w:t>
      </w:r>
      <w:r w:rsidRPr="00965CD9">
        <w:rPr>
          <w:lang w:val="en-US"/>
        </w:rPr>
        <w:t xml:space="preserve">uring evaluation of a complete measuring instrument. </w:t>
      </w:r>
      <w:r w:rsidR="00E3171A">
        <w:rPr>
          <w:lang w:val="en-US"/>
        </w:rPr>
        <w:t>O</w:t>
      </w:r>
      <w:r w:rsidRPr="00965CD9">
        <w:rPr>
          <w:lang w:val="en-US"/>
        </w:rPr>
        <w:t xml:space="preserve">nly </w:t>
      </w:r>
      <w:r w:rsidR="00746448">
        <w:rPr>
          <w:lang w:val="en-US"/>
        </w:rPr>
        <w:t xml:space="preserve">those </w:t>
      </w:r>
      <w:r w:rsidRPr="00965CD9">
        <w:rPr>
          <w:lang w:val="en-US"/>
        </w:rPr>
        <w:t xml:space="preserve">aspects not covered by the EC </w:t>
      </w:r>
      <w:r w:rsidR="009A4DEE">
        <w:rPr>
          <w:lang w:val="en-US"/>
        </w:rPr>
        <w:t>or</w:t>
      </w:r>
      <w:r w:rsidR="009A4DEE" w:rsidRPr="00965CD9">
        <w:rPr>
          <w:lang w:val="en-US"/>
        </w:rPr>
        <w:t xml:space="preserve"> </w:t>
      </w:r>
      <w:r w:rsidRPr="00965CD9">
        <w:rPr>
          <w:lang w:val="en-US"/>
        </w:rPr>
        <w:t xml:space="preserve">PC </w:t>
      </w:r>
      <w:r w:rsidR="009A4DEE">
        <w:rPr>
          <w:lang w:val="en-US"/>
        </w:rPr>
        <w:t>must</w:t>
      </w:r>
      <w:r w:rsidRPr="00965CD9">
        <w:rPr>
          <w:lang w:val="en-US"/>
        </w:rPr>
        <w:t xml:space="preserve"> be evaluated </w:t>
      </w:r>
      <w:r w:rsidR="00E3171A">
        <w:rPr>
          <w:lang w:val="en-US"/>
        </w:rPr>
        <w:t xml:space="preserve">in order </w:t>
      </w:r>
      <w:r w:rsidRPr="00965CD9">
        <w:rPr>
          <w:lang w:val="en-US"/>
        </w:rPr>
        <w:t>to obtain MID approval of the complete measuring instrument.</w:t>
      </w:r>
    </w:p>
    <w:p w14:paraId="4AF216F3" w14:textId="77777777" w:rsidR="00965CD9" w:rsidRPr="00965CD9" w:rsidRDefault="00965CD9" w:rsidP="00886677">
      <w:pPr>
        <w:jc w:val="both"/>
        <w:rPr>
          <w:lang w:val="en-US"/>
        </w:rPr>
      </w:pPr>
    </w:p>
    <w:p w14:paraId="446744F7" w14:textId="77777777" w:rsidR="00965CD9" w:rsidRPr="00965CD9" w:rsidRDefault="00965CD9" w:rsidP="00886677">
      <w:pPr>
        <w:jc w:val="both"/>
        <w:rPr>
          <w:lang w:val="en-US"/>
        </w:rPr>
      </w:pPr>
      <w:r w:rsidRPr="00965CD9">
        <w:rPr>
          <w:lang w:val="en-US"/>
        </w:rPr>
        <w:t xml:space="preserve">The modular approval procedure offers many benefits for all players involved: </w:t>
      </w:r>
      <w:r w:rsidR="009A4DEE">
        <w:rPr>
          <w:lang w:val="en-US"/>
        </w:rPr>
        <w:t xml:space="preserve">in particular, </w:t>
      </w:r>
      <w:r w:rsidRPr="00965CD9">
        <w:rPr>
          <w:lang w:val="en-US"/>
        </w:rPr>
        <w:t>saving</w:t>
      </w:r>
      <w:r w:rsidR="00E3171A">
        <w:rPr>
          <w:lang w:val="en-US"/>
        </w:rPr>
        <w:t>s</w:t>
      </w:r>
      <w:r w:rsidRPr="00965CD9">
        <w:rPr>
          <w:lang w:val="en-US"/>
        </w:rPr>
        <w:t xml:space="preserve"> </w:t>
      </w:r>
      <w:r w:rsidR="00E3171A">
        <w:rPr>
          <w:lang w:val="en-US"/>
        </w:rPr>
        <w:t>in</w:t>
      </w:r>
      <w:r w:rsidR="00E3171A" w:rsidRPr="00965CD9">
        <w:rPr>
          <w:lang w:val="en-US"/>
        </w:rPr>
        <w:t xml:space="preserve"> </w:t>
      </w:r>
      <w:r w:rsidRPr="00965CD9">
        <w:rPr>
          <w:lang w:val="en-US"/>
        </w:rPr>
        <w:t>costs and time</w:t>
      </w:r>
      <w:r w:rsidR="00E3171A">
        <w:rPr>
          <w:lang w:val="en-US"/>
        </w:rPr>
        <w:t>,</w:t>
      </w:r>
      <w:r w:rsidRPr="00965CD9">
        <w:rPr>
          <w:lang w:val="en-US"/>
        </w:rPr>
        <w:t xml:space="preserve"> since certain aspects of the MID, already covered by ECs and PCs of single parts, </w:t>
      </w:r>
      <w:r w:rsidR="00E3171A">
        <w:rPr>
          <w:lang w:val="en-US"/>
        </w:rPr>
        <w:t>do not</w:t>
      </w:r>
      <w:r w:rsidR="00E3171A" w:rsidRPr="00965CD9">
        <w:rPr>
          <w:lang w:val="en-US"/>
        </w:rPr>
        <w:t xml:space="preserve"> </w:t>
      </w:r>
      <w:r w:rsidRPr="00965CD9">
        <w:rPr>
          <w:lang w:val="en-US"/>
        </w:rPr>
        <w:t xml:space="preserve">need to be repeated for the complete measuring instrument. In addition, it </w:t>
      </w:r>
      <w:r w:rsidR="00746448">
        <w:rPr>
          <w:lang w:val="en-US"/>
        </w:rPr>
        <w:t>assures</w:t>
      </w:r>
      <w:r w:rsidRPr="00965CD9">
        <w:rPr>
          <w:lang w:val="en-US"/>
        </w:rPr>
        <w:t xml:space="preserve"> manufacturers that they are using a</w:t>
      </w:r>
      <w:r w:rsidR="009A4DEE">
        <w:rPr>
          <w:lang w:val="en-US"/>
        </w:rPr>
        <w:t xml:space="preserve"> certified MID-compliant </w:t>
      </w:r>
      <w:r w:rsidRPr="00965CD9">
        <w:rPr>
          <w:lang w:val="en-US"/>
        </w:rPr>
        <w:t>part in their device</w:t>
      </w:r>
      <w:r>
        <w:rPr>
          <w:lang w:val="en-US"/>
        </w:rPr>
        <w:t>.</w:t>
      </w:r>
    </w:p>
    <w:p w14:paraId="48CD85A8" w14:textId="77777777" w:rsidR="00965CD9" w:rsidRDefault="00965CD9" w:rsidP="00886677">
      <w:pPr>
        <w:jc w:val="both"/>
        <w:rPr>
          <w:lang w:val="en-US"/>
        </w:rPr>
      </w:pPr>
    </w:p>
    <w:p w14:paraId="0F8D5447" w14:textId="77777777" w:rsidR="0031347F" w:rsidRPr="0031347F" w:rsidRDefault="0031347F" w:rsidP="00886677">
      <w:pPr>
        <w:jc w:val="both"/>
        <w:rPr>
          <w:i/>
          <w:lang w:val="en-US"/>
        </w:rPr>
      </w:pPr>
      <w:r w:rsidRPr="0031347F">
        <w:rPr>
          <w:i/>
          <w:lang w:val="en-US"/>
        </w:rPr>
        <w:t>Figure 2: Modular evaluation approach offers benefits for all parties involved: saving of time and costs and increased trust in single parts.</w:t>
      </w:r>
    </w:p>
    <w:p w14:paraId="3BE6DDE4" w14:textId="77777777" w:rsidR="0031347F" w:rsidRPr="00965CD9" w:rsidRDefault="0031347F" w:rsidP="00886677">
      <w:pPr>
        <w:jc w:val="both"/>
        <w:rPr>
          <w:lang w:val="en-US"/>
        </w:rPr>
      </w:pPr>
    </w:p>
    <w:p w14:paraId="22DB5337" w14:textId="77777777" w:rsidR="00965CD9" w:rsidRPr="00965CD9" w:rsidRDefault="00965CD9" w:rsidP="00886677">
      <w:pPr>
        <w:pStyle w:val="SensirionSubtitle"/>
        <w:jc w:val="both"/>
        <w:rPr>
          <w:lang w:val="en-US"/>
        </w:rPr>
      </w:pPr>
      <w:r w:rsidRPr="00965CD9">
        <w:rPr>
          <w:lang w:val="en-US"/>
        </w:rPr>
        <w:t>Example: Evaluation Certificate for Gas Meter Modules</w:t>
      </w:r>
    </w:p>
    <w:p w14:paraId="53142139" w14:textId="77777777" w:rsidR="00965CD9" w:rsidRDefault="00965CD9" w:rsidP="00886677">
      <w:pPr>
        <w:jc w:val="both"/>
        <w:rPr>
          <w:lang w:val="en-US"/>
        </w:rPr>
      </w:pPr>
      <w:r w:rsidRPr="00965CD9">
        <w:rPr>
          <w:lang w:val="en-US"/>
        </w:rPr>
        <w:t xml:space="preserve">Sensirion has achieved an EC for its SGM70xx gas meter modules in accordance with the harmonized standard EN14236 and the normative document OIML R 137 for natural gas types H and L. The EC was issued by NMi, one of the leading Notified Bodies in Europe for type approval examination and certification of measuring instruments. The EC covers all metrological aspects of the MID for a microthermal gas meter. </w:t>
      </w:r>
      <w:r w:rsidR="00C050BA">
        <w:rPr>
          <w:lang w:val="en-US"/>
        </w:rPr>
        <w:t>Th</w:t>
      </w:r>
      <w:r w:rsidR="00C050BA" w:rsidRPr="00965CD9">
        <w:rPr>
          <w:lang w:val="en-US"/>
        </w:rPr>
        <w:t>e EC enables easier MID approval</w:t>
      </w:r>
      <w:r w:rsidR="00C050BA">
        <w:rPr>
          <w:lang w:val="en-US"/>
        </w:rPr>
        <w:t xml:space="preserve"> for g</w:t>
      </w:r>
      <w:r w:rsidRPr="00965CD9">
        <w:rPr>
          <w:lang w:val="en-US"/>
        </w:rPr>
        <w:t xml:space="preserve">as meter manufacturers that use the SGM70xx microthermal sensor module as </w:t>
      </w:r>
      <w:r w:rsidR="00C050BA">
        <w:rPr>
          <w:lang w:val="en-US"/>
        </w:rPr>
        <w:t xml:space="preserve">the </w:t>
      </w:r>
      <w:r w:rsidRPr="00965CD9">
        <w:rPr>
          <w:lang w:val="en-US"/>
        </w:rPr>
        <w:t xml:space="preserve">core </w:t>
      </w:r>
      <w:r w:rsidRPr="00965CD9">
        <w:rPr>
          <w:lang w:val="en-US"/>
        </w:rPr>
        <w:lastRenderedPageBreak/>
        <w:t>metrological unit</w:t>
      </w:r>
      <w:r w:rsidR="00C050BA">
        <w:rPr>
          <w:lang w:val="en-US"/>
        </w:rPr>
        <w:t xml:space="preserve">. The </w:t>
      </w:r>
      <w:r w:rsidRPr="00965CD9">
        <w:rPr>
          <w:lang w:val="en-US"/>
        </w:rPr>
        <w:t xml:space="preserve">costs and time </w:t>
      </w:r>
      <w:r w:rsidR="009A4DEE">
        <w:rPr>
          <w:lang w:val="en-US"/>
        </w:rPr>
        <w:t>required</w:t>
      </w:r>
      <w:r w:rsidR="009A4DEE" w:rsidRPr="00965CD9">
        <w:rPr>
          <w:lang w:val="en-US"/>
        </w:rPr>
        <w:t xml:space="preserve"> </w:t>
      </w:r>
      <w:r w:rsidRPr="00965CD9">
        <w:rPr>
          <w:lang w:val="en-US"/>
        </w:rPr>
        <w:t>for MID approval of complete gas meters are reduced significantly, which can result in valuable short time to market.</w:t>
      </w:r>
    </w:p>
    <w:p w14:paraId="464B630B" w14:textId="77777777" w:rsidR="0031347F" w:rsidRDefault="0031347F" w:rsidP="00886677">
      <w:pPr>
        <w:jc w:val="both"/>
        <w:rPr>
          <w:lang w:val="en-US"/>
        </w:rPr>
      </w:pPr>
    </w:p>
    <w:p w14:paraId="552386F2" w14:textId="77777777" w:rsidR="0031347F" w:rsidRPr="00965CD9" w:rsidRDefault="0031347F" w:rsidP="00886677">
      <w:pPr>
        <w:jc w:val="both"/>
        <w:rPr>
          <w:lang w:val="en-US"/>
        </w:rPr>
      </w:pPr>
      <w:r w:rsidRPr="0031347F">
        <w:rPr>
          <w:i/>
          <w:lang w:val="en-US"/>
        </w:rPr>
        <w:t>Figure 3: Sensirion’s SGM70xx have achieved an Evaluation Certificate according to EN14236 and OIML R137 for H and L gas</w:t>
      </w:r>
      <w:r w:rsidRPr="0031347F">
        <w:rPr>
          <w:lang w:val="en-US"/>
        </w:rPr>
        <w:t>.</w:t>
      </w:r>
    </w:p>
    <w:p w14:paraId="4EFCC59C" w14:textId="77777777" w:rsidR="00965CD9" w:rsidRPr="00965CD9" w:rsidRDefault="00965CD9" w:rsidP="00886677">
      <w:pPr>
        <w:jc w:val="both"/>
        <w:rPr>
          <w:lang w:val="en-US"/>
        </w:rPr>
      </w:pPr>
    </w:p>
    <w:p w14:paraId="5235C764" w14:textId="77777777" w:rsidR="00965CD9" w:rsidRPr="00965CD9" w:rsidRDefault="00965CD9" w:rsidP="00886677">
      <w:pPr>
        <w:pStyle w:val="SensirionSubtitle"/>
        <w:jc w:val="both"/>
        <w:rPr>
          <w:lang w:val="en-US"/>
        </w:rPr>
      </w:pPr>
      <w:r w:rsidRPr="00965CD9">
        <w:rPr>
          <w:lang w:val="en-US"/>
        </w:rPr>
        <w:t>Summary</w:t>
      </w:r>
    </w:p>
    <w:p w14:paraId="742F195F" w14:textId="77777777" w:rsidR="00965CD9" w:rsidRPr="00965CD9" w:rsidRDefault="00965CD9" w:rsidP="00886677">
      <w:pPr>
        <w:jc w:val="both"/>
        <w:rPr>
          <w:lang w:val="en-US"/>
        </w:rPr>
      </w:pPr>
      <w:r w:rsidRPr="00965CD9">
        <w:rPr>
          <w:lang w:val="en-US"/>
        </w:rPr>
        <w:t xml:space="preserve">The modular evaluation approach, described in WELMEC guide 8.8, has great potential for efficient MID approval of complete measuring instruments. It can help to save costs and time since certain aspects of the MID, already covered by ECs and PCs of single parts, </w:t>
      </w:r>
      <w:r w:rsidR="00C050BA">
        <w:rPr>
          <w:lang w:val="en-US"/>
        </w:rPr>
        <w:t>do not</w:t>
      </w:r>
      <w:r w:rsidR="00C050BA" w:rsidRPr="00965CD9">
        <w:rPr>
          <w:lang w:val="en-US"/>
        </w:rPr>
        <w:t xml:space="preserve"> </w:t>
      </w:r>
      <w:r w:rsidRPr="00965CD9">
        <w:rPr>
          <w:lang w:val="en-US"/>
        </w:rPr>
        <w:t xml:space="preserve">need to be repeated for the complete measuring instrument. Furthermore, it </w:t>
      </w:r>
      <w:r w:rsidR="00331FEE">
        <w:rPr>
          <w:lang w:val="en-US"/>
        </w:rPr>
        <w:t>assures</w:t>
      </w:r>
      <w:r w:rsidRPr="00965CD9">
        <w:rPr>
          <w:lang w:val="en-US"/>
        </w:rPr>
        <w:t xml:space="preserve"> manufacturers that they are using a</w:t>
      </w:r>
      <w:r w:rsidR="00C050BA">
        <w:rPr>
          <w:lang w:val="en-US"/>
        </w:rPr>
        <w:t xml:space="preserve"> </w:t>
      </w:r>
      <w:r w:rsidRPr="00965CD9">
        <w:rPr>
          <w:lang w:val="en-US"/>
        </w:rPr>
        <w:t xml:space="preserve">certified </w:t>
      </w:r>
      <w:r w:rsidR="009A4DEE">
        <w:rPr>
          <w:lang w:val="en-US"/>
        </w:rPr>
        <w:t xml:space="preserve">MID-compliant </w:t>
      </w:r>
      <w:r w:rsidRPr="00965CD9">
        <w:rPr>
          <w:lang w:val="en-US"/>
        </w:rPr>
        <w:t>part in their device.</w:t>
      </w:r>
    </w:p>
    <w:p w14:paraId="4DED4DBE" w14:textId="77777777" w:rsidR="00965CD9" w:rsidRDefault="00965CD9" w:rsidP="00886677">
      <w:pPr>
        <w:jc w:val="both"/>
        <w:rPr>
          <w:lang w:val="en-US"/>
        </w:rPr>
      </w:pPr>
    </w:p>
    <w:p w14:paraId="23CC5229" w14:textId="77777777" w:rsidR="00965CD9" w:rsidRPr="00965CD9" w:rsidRDefault="00965CD9" w:rsidP="00886677">
      <w:pPr>
        <w:jc w:val="both"/>
        <w:rPr>
          <w:lang w:val="en-US"/>
        </w:rPr>
      </w:pPr>
    </w:p>
    <w:p w14:paraId="7078A417" w14:textId="77777777" w:rsidR="00965CD9" w:rsidRDefault="00965CD9" w:rsidP="00886677">
      <w:pPr>
        <w:pStyle w:val="SensirionSubtitle"/>
        <w:jc w:val="both"/>
        <w:rPr>
          <w:lang w:val="en-US"/>
        </w:rPr>
      </w:pPr>
      <w:r w:rsidRPr="00965CD9">
        <w:rPr>
          <w:lang w:val="en-US"/>
        </w:rPr>
        <w:t>Interview with Henri Schouten, Senior Approvals Expert at NMi</w:t>
      </w:r>
    </w:p>
    <w:p w14:paraId="5F3C0535" w14:textId="77777777" w:rsidR="00965CD9" w:rsidRPr="00965CD9" w:rsidRDefault="00965CD9" w:rsidP="00886677">
      <w:pPr>
        <w:jc w:val="both"/>
        <w:rPr>
          <w:lang w:val="en-US"/>
        </w:rPr>
      </w:pPr>
    </w:p>
    <w:p w14:paraId="1CA0B007" w14:textId="77777777" w:rsidR="00965CD9" w:rsidRPr="00965CD9" w:rsidRDefault="00965CD9" w:rsidP="00886677">
      <w:pPr>
        <w:pStyle w:val="SensirionSubtitle"/>
        <w:jc w:val="both"/>
        <w:rPr>
          <w:i/>
          <w:lang w:val="en-US"/>
        </w:rPr>
      </w:pPr>
      <w:r w:rsidRPr="00965CD9">
        <w:rPr>
          <w:i/>
          <w:lang w:val="en-US"/>
        </w:rPr>
        <w:t xml:space="preserve">How </w:t>
      </w:r>
      <w:r w:rsidR="00B55E11">
        <w:rPr>
          <w:i/>
          <w:lang w:val="en-US"/>
        </w:rPr>
        <w:t>long has</w:t>
      </w:r>
      <w:r w:rsidRPr="00965CD9">
        <w:rPr>
          <w:i/>
          <w:lang w:val="en-US"/>
        </w:rPr>
        <w:t xml:space="preserve"> the modular </w:t>
      </w:r>
      <w:r w:rsidR="00B55E11">
        <w:rPr>
          <w:i/>
          <w:lang w:val="en-US"/>
        </w:rPr>
        <w:t>approach</w:t>
      </w:r>
      <w:r w:rsidR="00B55E11" w:rsidRPr="00965CD9">
        <w:rPr>
          <w:i/>
          <w:lang w:val="en-US"/>
        </w:rPr>
        <w:t xml:space="preserve"> </w:t>
      </w:r>
      <w:r w:rsidR="00B55E11">
        <w:rPr>
          <w:i/>
          <w:lang w:val="en-US"/>
        </w:rPr>
        <w:t xml:space="preserve">been </w:t>
      </w:r>
      <w:r w:rsidRPr="00965CD9">
        <w:rPr>
          <w:i/>
          <w:lang w:val="en-US"/>
        </w:rPr>
        <w:t>used by NMi?</w:t>
      </w:r>
    </w:p>
    <w:p w14:paraId="5B8DB3FD" w14:textId="77777777" w:rsidR="00965CD9" w:rsidRPr="00965CD9" w:rsidRDefault="00965CD9" w:rsidP="00886677">
      <w:pPr>
        <w:jc w:val="both"/>
        <w:rPr>
          <w:lang w:val="en-US"/>
        </w:rPr>
      </w:pPr>
      <w:r w:rsidRPr="00965CD9">
        <w:rPr>
          <w:lang w:val="en-US"/>
        </w:rPr>
        <w:t xml:space="preserve">NMi </w:t>
      </w:r>
      <w:r w:rsidR="00C050BA">
        <w:rPr>
          <w:lang w:val="en-US"/>
        </w:rPr>
        <w:t xml:space="preserve">had </w:t>
      </w:r>
      <w:r w:rsidRPr="00965CD9">
        <w:rPr>
          <w:lang w:val="en-US"/>
        </w:rPr>
        <w:t>invented the modular system before the MID was implemented</w:t>
      </w:r>
      <w:r w:rsidR="00870857">
        <w:rPr>
          <w:lang w:val="en-US"/>
        </w:rPr>
        <w:t>; that is,</w:t>
      </w:r>
      <w:r w:rsidRPr="00965CD9">
        <w:rPr>
          <w:lang w:val="en-US"/>
        </w:rPr>
        <w:t xml:space="preserve"> before 2006 when the national legal systems were </w:t>
      </w:r>
      <w:r w:rsidR="00C050BA">
        <w:rPr>
          <w:lang w:val="en-US"/>
        </w:rPr>
        <w:t xml:space="preserve">still </w:t>
      </w:r>
      <w:r w:rsidRPr="00965CD9">
        <w:rPr>
          <w:lang w:val="en-US"/>
        </w:rPr>
        <w:t xml:space="preserve">in place in Europe. After the introduction of the MID, NMi </w:t>
      </w:r>
      <w:r w:rsidR="00C050BA">
        <w:rPr>
          <w:lang w:val="en-US"/>
        </w:rPr>
        <w:t>encouraged</w:t>
      </w:r>
      <w:r w:rsidR="00C050BA" w:rsidRPr="00965CD9">
        <w:rPr>
          <w:lang w:val="en-US"/>
        </w:rPr>
        <w:t xml:space="preserve"> </w:t>
      </w:r>
      <w:r w:rsidRPr="00965CD9">
        <w:rPr>
          <w:lang w:val="en-US"/>
        </w:rPr>
        <w:t xml:space="preserve">the use of the modular approach, </w:t>
      </w:r>
      <w:r w:rsidR="00870857">
        <w:rPr>
          <w:lang w:val="en-US"/>
        </w:rPr>
        <w:t xml:space="preserve">in </w:t>
      </w:r>
      <w:r w:rsidRPr="00965CD9">
        <w:rPr>
          <w:lang w:val="en-US"/>
        </w:rPr>
        <w:t>conform</w:t>
      </w:r>
      <w:r w:rsidR="00870857">
        <w:rPr>
          <w:lang w:val="en-US"/>
        </w:rPr>
        <w:t>ance with</w:t>
      </w:r>
      <w:r w:rsidRPr="00965CD9">
        <w:rPr>
          <w:lang w:val="en-US"/>
        </w:rPr>
        <w:t xml:space="preserve"> the system laid down in WELMEC 8.8. I can honestly say that NMi is the Notified Body in Europe </w:t>
      </w:r>
      <w:r w:rsidR="00C050BA">
        <w:rPr>
          <w:lang w:val="en-US"/>
        </w:rPr>
        <w:t>that</w:t>
      </w:r>
      <w:r w:rsidR="00C050BA" w:rsidRPr="00965CD9">
        <w:rPr>
          <w:lang w:val="en-US"/>
        </w:rPr>
        <w:t xml:space="preserve"> </w:t>
      </w:r>
      <w:r w:rsidRPr="00965CD9">
        <w:rPr>
          <w:lang w:val="en-US"/>
        </w:rPr>
        <w:t xml:space="preserve">issues the most Evaluation Certificates, but other European Notified Bodies </w:t>
      </w:r>
      <w:r w:rsidR="00C050BA">
        <w:rPr>
          <w:lang w:val="en-US"/>
        </w:rPr>
        <w:t xml:space="preserve">also </w:t>
      </w:r>
      <w:r w:rsidRPr="00965CD9">
        <w:rPr>
          <w:lang w:val="en-US"/>
        </w:rPr>
        <w:t xml:space="preserve">make use of the modular evaluation approach. It </w:t>
      </w:r>
      <w:r w:rsidR="00C050BA">
        <w:rPr>
          <w:lang w:val="en-US"/>
        </w:rPr>
        <w:t xml:space="preserve">has </w:t>
      </w:r>
      <w:r w:rsidRPr="00965CD9">
        <w:rPr>
          <w:lang w:val="en-US"/>
        </w:rPr>
        <w:t xml:space="preserve">become </w:t>
      </w:r>
      <w:r w:rsidR="00C050BA">
        <w:rPr>
          <w:lang w:val="en-US"/>
        </w:rPr>
        <w:t>increasingly</w:t>
      </w:r>
      <w:r w:rsidRPr="00965CD9">
        <w:rPr>
          <w:lang w:val="en-US"/>
        </w:rPr>
        <w:t xml:space="preserve"> popular.</w:t>
      </w:r>
    </w:p>
    <w:p w14:paraId="663EDAA2" w14:textId="77777777" w:rsidR="00965CD9" w:rsidRPr="00965CD9" w:rsidRDefault="00965CD9" w:rsidP="00886677">
      <w:pPr>
        <w:jc w:val="both"/>
        <w:rPr>
          <w:lang w:val="en-US"/>
        </w:rPr>
      </w:pPr>
    </w:p>
    <w:p w14:paraId="14565E02" w14:textId="77777777" w:rsidR="00965CD9" w:rsidRPr="00965CD9" w:rsidRDefault="00965CD9" w:rsidP="00886677">
      <w:pPr>
        <w:pStyle w:val="SensirionSubtitle"/>
        <w:jc w:val="both"/>
        <w:rPr>
          <w:i/>
          <w:lang w:val="en-US"/>
        </w:rPr>
      </w:pPr>
      <w:r w:rsidRPr="00965CD9">
        <w:rPr>
          <w:i/>
          <w:lang w:val="en-US"/>
        </w:rPr>
        <w:t xml:space="preserve">Can every Notified Body issue </w:t>
      </w:r>
      <w:r w:rsidR="009A1DA8">
        <w:rPr>
          <w:i/>
          <w:lang w:val="en-US"/>
        </w:rPr>
        <w:t xml:space="preserve">an </w:t>
      </w:r>
      <w:r w:rsidRPr="00965CD9">
        <w:rPr>
          <w:i/>
          <w:lang w:val="en-US"/>
        </w:rPr>
        <w:t>Evaluation or Parts certificate?</w:t>
      </w:r>
    </w:p>
    <w:p w14:paraId="50612E72" w14:textId="77777777" w:rsidR="00965CD9" w:rsidRPr="00965CD9" w:rsidRDefault="00965CD9" w:rsidP="00886677">
      <w:pPr>
        <w:jc w:val="both"/>
        <w:rPr>
          <w:lang w:val="en-US"/>
        </w:rPr>
      </w:pPr>
      <w:r w:rsidRPr="00965CD9">
        <w:rPr>
          <w:lang w:val="en-US"/>
        </w:rPr>
        <w:t>In principle, yes</w:t>
      </w:r>
      <w:r w:rsidR="00C050BA">
        <w:rPr>
          <w:lang w:val="en-US"/>
        </w:rPr>
        <w:t>, since</w:t>
      </w:r>
      <w:r w:rsidRPr="00965CD9">
        <w:rPr>
          <w:lang w:val="en-US"/>
        </w:rPr>
        <w:t xml:space="preserve"> an Evaluation or Parts certificate </w:t>
      </w:r>
      <w:r w:rsidR="00C050BA">
        <w:rPr>
          <w:lang w:val="en-US"/>
        </w:rPr>
        <w:t>is</w:t>
      </w:r>
      <w:r w:rsidRPr="00965CD9">
        <w:rPr>
          <w:lang w:val="en-US"/>
        </w:rPr>
        <w:t xml:space="preserve"> not </w:t>
      </w:r>
      <w:r w:rsidR="00C050BA">
        <w:rPr>
          <w:lang w:val="en-US"/>
        </w:rPr>
        <w:t xml:space="preserve">a </w:t>
      </w:r>
      <w:r w:rsidRPr="00965CD9">
        <w:rPr>
          <w:lang w:val="en-US"/>
        </w:rPr>
        <w:t xml:space="preserve">legal document as such. However, once </w:t>
      </w:r>
      <w:r w:rsidR="00C050BA">
        <w:rPr>
          <w:lang w:val="en-US"/>
        </w:rPr>
        <w:t>it is</w:t>
      </w:r>
      <w:r w:rsidRPr="00965CD9">
        <w:rPr>
          <w:lang w:val="en-US"/>
        </w:rPr>
        <w:t xml:space="preserve"> implemented in an EU-type examination certificate – in a</w:t>
      </w:r>
      <w:r w:rsidR="00C050BA">
        <w:rPr>
          <w:lang w:val="en-US"/>
        </w:rPr>
        <w:t>n</w:t>
      </w:r>
      <w:r w:rsidRPr="00965CD9">
        <w:rPr>
          <w:lang w:val="en-US"/>
        </w:rPr>
        <w:t xml:space="preserve"> MID approval – then </w:t>
      </w:r>
      <w:r w:rsidR="00C050BA">
        <w:rPr>
          <w:lang w:val="en-US"/>
        </w:rPr>
        <w:t>it</w:t>
      </w:r>
      <w:r w:rsidR="00C050BA" w:rsidRPr="00965CD9">
        <w:rPr>
          <w:lang w:val="en-US"/>
        </w:rPr>
        <w:t xml:space="preserve"> </w:t>
      </w:r>
      <w:r w:rsidRPr="00965CD9">
        <w:rPr>
          <w:lang w:val="en-US"/>
        </w:rPr>
        <w:t>become</w:t>
      </w:r>
      <w:r w:rsidR="00C050BA">
        <w:rPr>
          <w:lang w:val="en-US"/>
        </w:rPr>
        <w:t>s</w:t>
      </w:r>
      <w:r w:rsidRPr="00965CD9">
        <w:rPr>
          <w:lang w:val="en-US"/>
        </w:rPr>
        <w:t xml:space="preserve"> legal. The modular approval is a voluntary system based on a gentleman’s agreement among Notified Bodies. They can make use of Evaluation or Parts certificates to issue EU-type examination certificates for complete measuring instruments. Notified Bodies </w:t>
      </w:r>
      <w:r w:rsidR="00C050BA">
        <w:rPr>
          <w:lang w:val="en-US"/>
        </w:rPr>
        <w:t>also have</w:t>
      </w:r>
      <w:r w:rsidR="00C050BA" w:rsidRPr="00965CD9">
        <w:rPr>
          <w:lang w:val="en-US"/>
        </w:rPr>
        <w:t xml:space="preserve"> </w:t>
      </w:r>
      <w:r w:rsidRPr="00965CD9">
        <w:rPr>
          <w:lang w:val="en-US"/>
        </w:rPr>
        <w:t xml:space="preserve">an agreement that they will accept </w:t>
      </w:r>
      <w:r w:rsidR="00C050BA" w:rsidRPr="00965CD9">
        <w:rPr>
          <w:lang w:val="en-US"/>
        </w:rPr>
        <w:t xml:space="preserve">only </w:t>
      </w:r>
      <w:r w:rsidRPr="00965CD9">
        <w:rPr>
          <w:lang w:val="en-US"/>
        </w:rPr>
        <w:t>Evaluation and Parts certificates issued by Notified Bodies</w:t>
      </w:r>
      <w:r w:rsidR="00F43E43">
        <w:rPr>
          <w:lang w:val="en-US"/>
        </w:rPr>
        <w:t xml:space="preserve"> that</w:t>
      </w:r>
      <w:r w:rsidRPr="00965CD9">
        <w:rPr>
          <w:lang w:val="en-US"/>
        </w:rPr>
        <w:t xml:space="preserve"> also act as a Notified Body for a particular complete measuring instrument. </w:t>
      </w:r>
    </w:p>
    <w:p w14:paraId="3B3F9C56" w14:textId="77777777" w:rsidR="00965CD9" w:rsidRPr="00965CD9" w:rsidRDefault="00965CD9" w:rsidP="00886677">
      <w:pPr>
        <w:jc w:val="both"/>
        <w:rPr>
          <w:lang w:val="en-US"/>
        </w:rPr>
      </w:pPr>
    </w:p>
    <w:p w14:paraId="125D6FAE" w14:textId="77777777" w:rsidR="00965CD9" w:rsidRPr="00965CD9" w:rsidRDefault="00965CD9" w:rsidP="00886677">
      <w:pPr>
        <w:pStyle w:val="SensirionSubtitle"/>
        <w:jc w:val="both"/>
        <w:rPr>
          <w:i/>
          <w:lang w:val="en-US"/>
        </w:rPr>
      </w:pPr>
      <w:r w:rsidRPr="00965CD9">
        <w:rPr>
          <w:i/>
          <w:lang w:val="en-US"/>
        </w:rPr>
        <w:t xml:space="preserve">What challenges </w:t>
      </w:r>
      <w:r w:rsidR="00F43E43">
        <w:rPr>
          <w:i/>
          <w:lang w:val="en-US"/>
        </w:rPr>
        <w:t>have</w:t>
      </w:r>
      <w:r w:rsidR="00F43E43" w:rsidRPr="00965CD9">
        <w:rPr>
          <w:i/>
          <w:lang w:val="en-US"/>
        </w:rPr>
        <w:t xml:space="preserve"> </w:t>
      </w:r>
      <w:r w:rsidRPr="00965CD9">
        <w:rPr>
          <w:i/>
          <w:lang w:val="en-US"/>
        </w:rPr>
        <w:t>you experience</w:t>
      </w:r>
      <w:r w:rsidR="00F43E43">
        <w:rPr>
          <w:i/>
          <w:lang w:val="en-US"/>
        </w:rPr>
        <w:t>d</w:t>
      </w:r>
      <w:r w:rsidRPr="00965CD9">
        <w:rPr>
          <w:i/>
          <w:lang w:val="en-US"/>
        </w:rPr>
        <w:t xml:space="preserve"> with the modular approach?</w:t>
      </w:r>
    </w:p>
    <w:p w14:paraId="259210EC" w14:textId="77777777" w:rsidR="00965CD9" w:rsidRPr="00965CD9" w:rsidRDefault="00F43E43" w:rsidP="00886677">
      <w:pPr>
        <w:jc w:val="both"/>
        <w:rPr>
          <w:lang w:val="en-US"/>
        </w:rPr>
      </w:pPr>
      <w:r>
        <w:rPr>
          <w:lang w:val="en-US"/>
        </w:rPr>
        <w:t>W</w:t>
      </w:r>
      <w:r w:rsidR="00965CD9" w:rsidRPr="00965CD9">
        <w:rPr>
          <w:lang w:val="en-US"/>
        </w:rPr>
        <w:t>e deal with</w:t>
      </w:r>
      <w:r w:rsidR="00870857">
        <w:rPr>
          <w:lang w:val="en-US"/>
        </w:rPr>
        <w:t xml:space="preserve"> parts</w:t>
      </w:r>
      <w:r w:rsidR="00965CD9" w:rsidRPr="00965CD9">
        <w:rPr>
          <w:lang w:val="en-US"/>
        </w:rPr>
        <w:t xml:space="preserve"> producers </w:t>
      </w:r>
      <w:r>
        <w:rPr>
          <w:lang w:val="en-US"/>
        </w:rPr>
        <w:t>that</w:t>
      </w:r>
      <w:r w:rsidR="00965CD9" w:rsidRPr="00965CD9">
        <w:rPr>
          <w:lang w:val="en-US"/>
        </w:rPr>
        <w:t xml:space="preserve"> </w:t>
      </w:r>
      <w:r w:rsidR="00870857">
        <w:rPr>
          <w:lang w:val="en-US"/>
        </w:rPr>
        <w:t xml:space="preserve">are </w:t>
      </w:r>
      <w:r w:rsidR="00965CD9" w:rsidRPr="00965CD9">
        <w:rPr>
          <w:lang w:val="en-US"/>
        </w:rPr>
        <w:t xml:space="preserve">sometimes </w:t>
      </w:r>
      <w:r>
        <w:rPr>
          <w:lang w:val="en-US"/>
        </w:rPr>
        <w:t>not</w:t>
      </w:r>
      <w:r w:rsidR="00137404">
        <w:rPr>
          <w:lang w:val="en-US"/>
        </w:rPr>
        <w:t xml:space="preserve"> used to legal metrology. </w:t>
      </w:r>
      <w:r w:rsidR="00965CD9" w:rsidRPr="00965CD9">
        <w:rPr>
          <w:lang w:val="en-US"/>
        </w:rPr>
        <w:t>The moment they enter this world</w:t>
      </w:r>
      <w:r>
        <w:rPr>
          <w:lang w:val="en-US"/>
        </w:rPr>
        <w:t>,</w:t>
      </w:r>
      <w:r w:rsidR="00965CD9" w:rsidRPr="00965CD9">
        <w:rPr>
          <w:lang w:val="en-US"/>
        </w:rPr>
        <w:t xml:space="preserve"> more explanations </w:t>
      </w:r>
      <w:r>
        <w:rPr>
          <w:lang w:val="en-US"/>
        </w:rPr>
        <w:t xml:space="preserve">are </w:t>
      </w:r>
      <w:r w:rsidR="00965CD9" w:rsidRPr="00965CD9">
        <w:rPr>
          <w:lang w:val="en-US"/>
        </w:rPr>
        <w:t xml:space="preserve">needed than if we collaborate with, for instance, meter manufacturers </w:t>
      </w:r>
      <w:r>
        <w:rPr>
          <w:lang w:val="en-US"/>
        </w:rPr>
        <w:t>that</w:t>
      </w:r>
      <w:r w:rsidRPr="00965CD9">
        <w:rPr>
          <w:lang w:val="en-US"/>
        </w:rPr>
        <w:t xml:space="preserve"> </w:t>
      </w:r>
      <w:r w:rsidR="00965CD9" w:rsidRPr="00965CD9">
        <w:rPr>
          <w:lang w:val="en-US"/>
        </w:rPr>
        <w:t xml:space="preserve">typically </w:t>
      </w:r>
      <w:r>
        <w:rPr>
          <w:lang w:val="en-US"/>
        </w:rPr>
        <w:t xml:space="preserve">are </w:t>
      </w:r>
      <w:r w:rsidR="00965CD9" w:rsidRPr="00965CD9">
        <w:rPr>
          <w:lang w:val="en-US"/>
        </w:rPr>
        <w:t xml:space="preserve">well aware of </w:t>
      </w:r>
      <w:r>
        <w:rPr>
          <w:lang w:val="en-US"/>
        </w:rPr>
        <w:t xml:space="preserve">the </w:t>
      </w:r>
      <w:r w:rsidR="00965CD9" w:rsidRPr="00965CD9">
        <w:rPr>
          <w:lang w:val="en-US"/>
        </w:rPr>
        <w:t xml:space="preserve">legal aspects. Overall, the modular approach opens a lot of doors </w:t>
      </w:r>
      <w:r>
        <w:rPr>
          <w:lang w:val="en-US"/>
        </w:rPr>
        <w:t>to</w:t>
      </w:r>
      <w:r w:rsidRPr="00965CD9">
        <w:rPr>
          <w:lang w:val="en-US"/>
        </w:rPr>
        <w:t xml:space="preserve"> </w:t>
      </w:r>
      <w:r w:rsidR="00965CD9" w:rsidRPr="00965CD9">
        <w:rPr>
          <w:lang w:val="en-US"/>
        </w:rPr>
        <w:t xml:space="preserve">new certifications and new connections between producers and manufacturers </w:t>
      </w:r>
      <w:r>
        <w:rPr>
          <w:lang w:val="en-US"/>
        </w:rPr>
        <w:t>that</w:t>
      </w:r>
      <w:r w:rsidRPr="00965CD9">
        <w:rPr>
          <w:lang w:val="en-US"/>
        </w:rPr>
        <w:t xml:space="preserve"> </w:t>
      </w:r>
      <w:r w:rsidR="00965CD9" w:rsidRPr="00965CD9">
        <w:rPr>
          <w:lang w:val="en-US"/>
        </w:rPr>
        <w:t>can help to simplify collaboration. So, in our experience</w:t>
      </w:r>
      <w:r>
        <w:rPr>
          <w:lang w:val="en-US"/>
        </w:rPr>
        <w:t>,</w:t>
      </w:r>
      <w:r w:rsidR="00965CD9" w:rsidRPr="00965CD9">
        <w:rPr>
          <w:lang w:val="en-US"/>
        </w:rPr>
        <w:t xml:space="preserve"> the advantages of the modular evaluation approach clearly outnumber the challenges.</w:t>
      </w:r>
    </w:p>
    <w:p w14:paraId="6F9FF5BD" w14:textId="77777777" w:rsidR="00965CD9" w:rsidRPr="00965CD9" w:rsidRDefault="00965CD9" w:rsidP="00886677">
      <w:pPr>
        <w:jc w:val="both"/>
        <w:rPr>
          <w:lang w:val="en-US"/>
        </w:rPr>
      </w:pPr>
    </w:p>
    <w:p w14:paraId="66A342DA" w14:textId="77777777" w:rsidR="00965CD9" w:rsidRPr="00965CD9" w:rsidRDefault="00965CD9" w:rsidP="00886677">
      <w:pPr>
        <w:pStyle w:val="SensirionSubtitle"/>
        <w:jc w:val="both"/>
        <w:rPr>
          <w:i/>
          <w:lang w:val="en-US"/>
        </w:rPr>
      </w:pPr>
      <w:r w:rsidRPr="00965CD9">
        <w:rPr>
          <w:i/>
          <w:lang w:val="en-US"/>
        </w:rPr>
        <w:t>Is the modular approach the future trend?</w:t>
      </w:r>
    </w:p>
    <w:p w14:paraId="20489451" w14:textId="77777777" w:rsidR="00965CD9" w:rsidRPr="00965CD9" w:rsidRDefault="00965CD9" w:rsidP="00886677">
      <w:pPr>
        <w:jc w:val="both"/>
        <w:rPr>
          <w:lang w:val="en-US"/>
        </w:rPr>
      </w:pPr>
      <w:r w:rsidRPr="00965CD9">
        <w:rPr>
          <w:lang w:val="en-US"/>
        </w:rPr>
        <w:t>Yes, in my opinion the modular approach is really the future</w:t>
      </w:r>
      <w:r w:rsidR="00F43E43">
        <w:rPr>
          <w:lang w:val="en-US"/>
        </w:rPr>
        <w:t xml:space="preserve"> in several areas</w:t>
      </w:r>
      <w:r w:rsidRPr="00965CD9">
        <w:rPr>
          <w:lang w:val="en-US"/>
        </w:rPr>
        <w:t xml:space="preserve">. Of course, there will always remain manufacturers of the total measuring instrument. In some areas, the modular approach does not have </w:t>
      </w:r>
      <w:r w:rsidR="00870857">
        <w:rPr>
          <w:lang w:val="en-US"/>
        </w:rPr>
        <w:t xml:space="preserve">quite </w:t>
      </w:r>
      <w:r w:rsidRPr="00965CD9">
        <w:rPr>
          <w:lang w:val="en-US"/>
        </w:rPr>
        <w:t xml:space="preserve">so many advantages – </w:t>
      </w:r>
      <w:r w:rsidR="00F43E43">
        <w:rPr>
          <w:lang w:val="en-US"/>
        </w:rPr>
        <w:t xml:space="preserve">such as </w:t>
      </w:r>
      <w:r w:rsidRPr="00965CD9">
        <w:rPr>
          <w:lang w:val="en-US"/>
        </w:rPr>
        <w:t xml:space="preserve">in the world of electricity meters. However, in the field of gas and volume conversion devices, it has a lot of advantages. </w:t>
      </w:r>
      <w:r w:rsidR="00F43E43">
        <w:rPr>
          <w:lang w:val="en-US"/>
        </w:rPr>
        <w:t>T</w:t>
      </w:r>
      <w:r w:rsidRPr="00965CD9">
        <w:rPr>
          <w:lang w:val="en-US"/>
        </w:rPr>
        <w:t xml:space="preserve">his area </w:t>
      </w:r>
      <w:r w:rsidR="00F43E43">
        <w:rPr>
          <w:lang w:val="en-US"/>
        </w:rPr>
        <w:t>has</w:t>
      </w:r>
      <w:r w:rsidRPr="00965CD9">
        <w:rPr>
          <w:lang w:val="en-US"/>
        </w:rPr>
        <w:t xml:space="preserve"> many different producers</w:t>
      </w:r>
      <w:r w:rsidR="00F43E43">
        <w:rPr>
          <w:lang w:val="en-US"/>
        </w:rPr>
        <w:t xml:space="preserve"> in </w:t>
      </w:r>
      <w:r w:rsidR="00870857">
        <w:rPr>
          <w:lang w:val="en-US"/>
        </w:rPr>
        <w:t>various</w:t>
      </w:r>
      <w:r w:rsidR="00F43E43">
        <w:rPr>
          <w:lang w:val="en-US"/>
        </w:rPr>
        <w:t xml:space="preserve"> sectors;</w:t>
      </w:r>
      <w:r w:rsidRPr="00965CD9">
        <w:rPr>
          <w:lang w:val="en-US"/>
        </w:rPr>
        <w:t xml:space="preserve"> for instance</w:t>
      </w:r>
      <w:r w:rsidR="00F43E43">
        <w:rPr>
          <w:lang w:val="en-US"/>
        </w:rPr>
        <w:t>,</w:t>
      </w:r>
      <w:r w:rsidRPr="00965CD9">
        <w:rPr>
          <w:lang w:val="en-US"/>
        </w:rPr>
        <w:t xml:space="preserve"> mechanics and electronics. </w:t>
      </w:r>
      <w:r w:rsidR="00F43E43">
        <w:rPr>
          <w:lang w:val="en-US"/>
        </w:rPr>
        <w:t>And</w:t>
      </w:r>
      <w:r w:rsidRPr="00965CD9">
        <w:rPr>
          <w:lang w:val="en-US"/>
        </w:rPr>
        <w:t xml:space="preserve"> for gas meters, where we see gas meter measuring parts, indicator parts and pressure and temperature sensors, the modular evaluation approach is really intere</w:t>
      </w:r>
      <w:r>
        <w:rPr>
          <w:lang w:val="en-US"/>
        </w:rPr>
        <w:t>sting for all players involved.</w:t>
      </w:r>
    </w:p>
    <w:p w14:paraId="1B6EA937" w14:textId="77777777" w:rsidR="00965CD9" w:rsidRDefault="00965CD9" w:rsidP="00886677">
      <w:pPr>
        <w:jc w:val="both"/>
        <w:rPr>
          <w:lang w:val="en-US"/>
        </w:rPr>
      </w:pPr>
    </w:p>
    <w:p w14:paraId="7F5E68E3" w14:textId="77777777" w:rsidR="00965CD9" w:rsidRPr="00965CD9" w:rsidRDefault="00965CD9" w:rsidP="00886677">
      <w:pPr>
        <w:jc w:val="both"/>
        <w:rPr>
          <w:lang w:val="en-US"/>
        </w:rPr>
      </w:pPr>
    </w:p>
    <w:p w14:paraId="63EAB85C" w14:textId="77777777" w:rsidR="00965CD9" w:rsidRPr="00587DBE" w:rsidRDefault="00965CD9" w:rsidP="00886677">
      <w:pPr>
        <w:pStyle w:val="SensirionSubtitle"/>
        <w:jc w:val="both"/>
        <w:rPr>
          <w:lang w:val="en-US"/>
        </w:rPr>
      </w:pPr>
      <w:r w:rsidRPr="00587DBE">
        <w:rPr>
          <w:lang w:val="en-US"/>
        </w:rPr>
        <w:t>About Sensirion</w:t>
      </w:r>
    </w:p>
    <w:p w14:paraId="3EAF90D7" w14:textId="77777777" w:rsidR="00965CD9" w:rsidRPr="00965CD9" w:rsidRDefault="00965CD9" w:rsidP="00886677">
      <w:pPr>
        <w:jc w:val="both"/>
        <w:rPr>
          <w:lang w:val="en-US"/>
        </w:rPr>
      </w:pPr>
      <w:r w:rsidRPr="00965CD9">
        <w:rPr>
          <w:lang w:val="en-US"/>
        </w:rPr>
        <w:t xml:space="preserve">Sensirion is </w:t>
      </w:r>
      <w:r w:rsidR="00F43E43">
        <w:rPr>
          <w:lang w:val="en-US"/>
        </w:rPr>
        <w:t xml:space="preserve">a </w:t>
      </w:r>
      <w:r w:rsidRPr="00965CD9">
        <w:rPr>
          <w:lang w:val="en-US"/>
        </w:rPr>
        <w:t>leading manufacturer of high</w:t>
      </w:r>
      <w:r w:rsidR="00F43E43">
        <w:rPr>
          <w:lang w:val="en-US"/>
        </w:rPr>
        <w:t xml:space="preserve"> </w:t>
      </w:r>
      <w:r w:rsidRPr="00965CD9">
        <w:rPr>
          <w:lang w:val="en-US"/>
        </w:rPr>
        <w:t xml:space="preserve">quality sensors and sensor solutions for the measurement and control of gas and liquid flows, humidity and temperature. Sensirion is </w:t>
      </w:r>
      <w:r w:rsidR="00B00DB0">
        <w:rPr>
          <w:lang w:val="en-US"/>
        </w:rPr>
        <w:t>an</w:t>
      </w:r>
      <w:r w:rsidR="00B00DB0" w:rsidRPr="00965CD9">
        <w:rPr>
          <w:lang w:val="en-US"/>
        </w:rPr>
        <w:t xml:space="preserve"> </w:t>
      </w:r>
      <w:r w:rsidRPr="00965CD9">
        <w:rPr>
          <w:lang w:val="en-US"/>
        </w:rPr>
        <w:t>expert and innovative pioneer</w:t>
      </w:r>
      <w:r w:rsidR="00B00DB0">
        <w:rPr>
          <w:lang w:val="en-US"/>
        </w:rPr>
        <w:t xml:space="preserve"> in microthermal gas metering</w:t>
      </w:r>
      <w:r w:rsidRPr="00965CD9">
        <w:rPr>
          <w:lang w:val="en-US"/>
        </w:rPr>
        <w:t xml:space="preserve">, and </w:t>
      </w:r>
      <w:r w:rsidR="00B00DB0">
        <w:rPr>
          <w:lang w:val="en-US"/>
        </w:rPr>
        <w:t>its</w:t>
      </w:r>
      <w:r w:rsidRPr="00965CD9">
        <w:rPr>
          <w:lang w:val="en-US"/>
        </w:rPr>
        <w:t xml:space="preserve"> microthermal modules have been a large-scale success in Europe. </w:t>
      </w:r>
      <w:r w:rsidR="00B00DB0">
        <w:rPr>
          <w:lang w:val="en-US"/>
        </w:rPr>
        <w:t>More than</w:t>
      </w:r>
      <w:r w:rsidR="00B00DB0" w:rsidRPr="00965CD9">
        <w:rPr>
          <w:lang w:val="en-US"/>
        </w:rPr>
        <w:t xml:space="preserve"> </w:t>
      </w:r>
      <w:r w:rsidRPr="00965CD9">
        <w:rPr>
          <w:lang w:val="en-US"/>
        </w:rPr>
        <w:t>500</w:t>
      </w:r>
      <w:r w:rsidR="00B00DB0">
        <w:rPr>
          <w:lang w:val="en-US"/>
        </w:rPr>
        <w:t>,</w:t>
      </w:r>
      <w:r w:rsidRPr="00965CD9">
        <w:rPr>
          <w:lang w:val="en-US"/>
        </w:rPr>
        <w:t xml:space="preserve">000 </w:t>
      </w:r>
      <w:r w:rsidR="00B00DB0">
        <w:rPr>
          <w:lang w:val="en-US"/>
        </w:rPr>
        <w:t xml:space="preserve">Sensirion </w:t>
      </w:r>
      <w:r w:rsidRPr="00965CD9">
        <w:rPr>
          <w:lang w:val="en-US"/>
        </w:rPr>
        <w:t xml:space="preserve">gas meter modules provide reliable and real-time monitoring of gas consumption in </w:t>
      </w:r>
      <w:r w:rsidR="008A6027">
        <w:rPr>
          <w:lang w:val="en-US"/>
        </w:rPr>
        <w:t>Europe</w:t>
      </w:r>
      <w:r w:rsidRPr="00965CD9">
        <w:rPr>
          <w:lang w:val="en-US"/>
        </w:rPr>
        <w:t xml:space="preserve">. Founded in 1998, the company is based in Staefa near Zurich, Switzerland, and employs people in the US, South Korea, Japan, China, Taiwan and Germany. The headquarters in Switzerland is responsible for research, development and production. </w:t>
      </w:r>
    </w:p>
    <w:p w14:paraId="705465C3" w14:textId="77777777" w:rsidR="009042F3" w:rsidRDefault="00965CD9" w:rsidP="00886677">
      <w:pPr>
        <w:jc w:val="both"/>
        <w:rPr>
          <w:lang w:val="en-US"/>
        </w:rPr>
      </w:pPr>
      <w:r w:rsidRPr="00965CD9">
        <w:rPr>
          <w:lang w:val="en-US"/>
        </w:rPr>
        <w:lastRenderedPageBreak/>
        <w:t>Millions of Sensirion's sensor components and solutions are used all over the world, including in the smart energy, building technology, automotive and medical technology</w:t>
      </w:r>
      <w:r w:rsidR="00B00DB0">
        <w:rPr>
          <w:lang w:val="en-US"/>
        </w:rPr>
        <w:t xml:space="preserve"> sectors</w:t>
      </w:r>
      <w:r w:rsidRPr="00965CD9">
        <w:rPr>
          <w:lang w:val="en-US"/>
        </w:rPr>
        <w:t>. Sensirion's success is based on the innovative CMOSens</w:t>
      </w:r>
      <w:r w:rsidR="00B049F9" w:rsidRPr="00587DBE">
        <w:rPr>
          <w:vertAlign w:val="superscript"/>
          <w:lang w:val="en-US"/>
        </w:rPr>
        <w:t>®</w:t>
      </w:r>
      <w:r w:rsidRPr="00965CD9">
        <w:rPr>
          <w:lang w:val="en-US"/>
        </w:rPr>
        <w:t xml:space="preserve"> Technology, which combines sensor and analysis electronics in a single semiconductor chip. </w:t>
      </w:r>
      <w:r w:rsidR="009042F3">
        <w:rPr>
          <w:lang w:val="en-US"/>
        </w:rPr>
        <w:t>Thus,</w:t>
      </w:r>
      <w:r w:rsidRPr="00965CD9">
        <w:rPr>
          <w:lang w:val="en-US"/>
        </w:rPr>
        <w:t xml:space="preserve"> large unit numbers can be produced at high quality and low cost.</w:t>
      </w:r>
    </w:p>
    <w:p w14:paraId="70D0EBFD" w14:textId="77777777" w:rsidR="008A6027" w:rsidRDefault="008A6027" w:rsidP="00886677">
      <w:pPr>
        <w:jc w:val="both"/>
        <w:rPr>
          <w:lang w:val="en-US"/>
        </w:rPr>
      </w:pPr>
    </w:p>
    <w:p w14:paraId="19FA3662" w14:textId="77777777" w:rsidR="008A6027" w:rsidRPr="00965CD9" w:rsidRDefault="008A6027" w:rsidP="00886677">
      <w:pPr>
        <w:jc w:val="both"/>
        <w:rPr>
          <w:lang w:val="en-US"/>
        </w:rPr>
      </w:pPr>
    </w:p>
    <w:p w14:paraId="2F050F9D" w14:textId="77777777" w:rsidR="00965CD9" w:rsidRPr="00965CD9" w:rsidRDefault="00965CD9" w:rsidP="00886677">
      <w:pPr>
        <w:pStyle w:val="SensirionSubtitle"/>
        <w:jc w:val="both"/>
        <w:rPr>
          <w:lang w:val="en-US"/>
        </w:rPr>
      </w:pPr>
      <w:r w:rsidRPr="00965CD9">
        <w:rPr>
          <w:lang w:val="en-US"/>
        </w:rPr>
        <w:t>About Hen</w:t>
      </w:r>
      <w:r>
        <w:rPr>
          <w:lang w:val="en-US"/>
        </w:rPr>
        <w:t>ri Schouten and NMi</w:t>
      </w:r>
    </w:p>
    <w:p w14:paraId="7034D4D8" w14:textId="77777777" w:rsidR="00965CD9" w:rsidRDefault="00965CD9" w:rsidP="00886677">
      <w:pPr>
        <w:jc w:val="both"/>
        <w:rPr>
          <w:lang w:val="en-US"/>
        </w:rPr>
      </w:pPr>
      <w:r w:rsidRPr="00965CD9">
        <w:rPr>
          <w:lang w:val="en-US"/>
        </w:rPr>
        <w:t xml:space="preserve">Henri </w:t>
      </w:r>
      <w:r w:rsidR="00386F4D">
        <w:rPr>
          <w:lang w:val="en-US"/>
        </w:rPr>
        <w:t xml:space="preserve">Schouten has more than 20 years </w:t>
      </w:r>
      <w:r w:rsidR="00B00DB0">
        <w:rPr>
          <w:lang w:val="en-US"/>
        </w:rPr>
        <w:t xml:space="preserve">of </w:t>
      </w:r>
      <w:r w:rsidRPr="00965CD9">
        <w:rPr>
          <w:lang w:val="en-US"/>
        </w:rPr>
        <w:t>experience with utility meters. He participat</w:t>
      </w:r>
      <w:r w:rsidR="00B00DB0">
        <w:rPr>
          <w:lang w:val="en-US"/>
        </w:rPr>
        <w:t>es</w:t>
      </w:r>
      <w:r w:rsidRPr="00965CD9">
        <w:rPr>
          <w:lang w:val="en-US"/>
        </w:rPr>
        <w:t xml:space="preserve"> in a number of international working groups, </w:t>
      </w:r>
      <w:r w:rsidR="00B00DB0">
        <w:rPr>
          <w:lang w:val="en-US"/>
        </w:rPr>
        <w:t>including</w:t>
      </w:r>
      <w:r w:rsidR="00B00DB0" w:rsidRPr="00965CD9">
        <w:rPr>
          <w:lang w:val="en-US"/>
        </w:rPr>
        <w:t xml:space="preserve"> </w:t>
      </w:r>
      <w:r w:rsidRPr="00965CD9">
        <w:rPr>
          <w:lang w:val="en-US"/>
        </w:rPr>
        <w:t xml:space="preserve">IEC, CENELEC and OIML. He is one of the </w:t>
      </w:r>
      <w:r w:rsidR="00B00DB0">
        <w:rPr>
          <w:lang w:val="en-US"/>
        </w:rPr>
        <w:t>authors</w:t>
      </w:r>
      <w:r w:rsidR="00B00DB0" w:rsidRPr="00965CD9">
        <w:rPr>
          <w:lang w:val="en-US"/>
        </w:rPr>
        <w:t xml:space="preserve"> </w:t>
      </w:r>
      <w:r w:rsidRPr="00965CD9">
        <w:rPr>
          <w:lang w:val="en-US"/>
        </w:rPr>
        <w:t xml:space="preserve">of the OIML R 137 for gas meters. </w:t>
      </w:r>
    </w:p>
    <w:p w14:paraId="35D6685E" w14:textId="77777777" w:rsidR="00965CD9" w:rsidRPr="00965CD9" w:rsidRDefault="00965CD9" w:rsidP="00886677">
      <w:pPr>
        <w:jc w:val="both"/>
        <w:rPr>
          <w:lang w:val="en-US"/>
        </w:rPr>
      </w:pPr>
    </w:p>
    <w:p w14:paraId="7D6EA866" w14:textId="77777777" w:rsidR="008A6027" w:rsidRDefault="00965CD9" w:rsidP="00886677">
      <w:pPr>
        <w:jc w:val="both"/>
        <w:rPr>
          <w:lang w:val="en-US"/>
        </w:rPr>
      </w:pPr>
      <w:r w:rsidRPr="00965CD9">
        <w:rPr>
          <w:lang w:val="en-US"/>
        </w:rPr>
        <w:t xml:space="preserve">As </w:t>
      </w:r>
      <w:r w:rsidR="00B00DB0">
        <w:rPr>
          <w:lang w:val="en-US"/>
        </w:rPr>
        <w:t xml:space="preserve">a </w:t>
      </w:r>
      <w:r w:rsidRPr="00965CD9">
        <w:rPr>
          <w:lang w:val="en-US"/>
        </w:rPr>
        <w:t xml:space="preserve">member of WELMEC 11, </w:t>
      </w:r>
      <w:r w:rsidR="009042F3">
        <w:rPr>
          <w:lang w:val="en-US"/>
        </w:rPr>
        <w:t>which</w:t>
      </w:r>
      <w:r w:rsidR="009042F3" w:rsidRPr="00965CD9">
        <w:rPr>
          <w:lang w:val="en-US"/>
        </w:rPr>
        <w:t xml:space="preserve"> </w:t>
      </w:r>
      <w:r w:rsidRPr="00965CD9">
        <w:rPr>
          <w:lang w:val="en-US"/>
        </w:rPr>
        <w:t>interpret</w:t>
      </w:r>
      <w:r w:rsidR="009042F3">
        <w:rPr>
          <w:lang w:val="en-US"/>
        </w:rPr>
        <w:t>s</w:t>
      </w:r>
      <w:r w:rsidRPr="00965CD9">
        <w:rPr>
          <w:lang w:val="en-US"/>
        </w:rPr>
        <w:t xml:space="preserve"> the MID for utility meters, he plays an important role as chairman of the </w:t>
      </w:r>
      <w:r w:rsidR="00B00DB0" w:rsidRPr="00965CD9">
        <w:rPr>
          <w:lang w:val="en-US"/>
        </w:rPr>
        <w:t>gas meters</w:t>
      </w:r>
      <w:r w:rsidR="00B00DB0">
        <w:rPr>
          <w:lang w:val="en-US"/>
        </w:rPr>
        <w:t xml:space="preserve"> </w:t>
      </w:r>
      <w:r w:rsidRPr="00965CD9">
        <w:rPr>
          <w:lang w:val="en-US"/>
        </w:rPr>
        <w:t>subgroup.</w:t>
      </w:r>
    </w:p>
    <w:p w14:paraId="193F517C" w14:textId="77777777" w:rsidR="008A6027" w:rsidRDefault="008A6027" w:rsidP="00886677">
      <w:pPr>
        <w:jc w:val="both"/>
        <w:rPr>
          <w:lang w:val="en-US"/>
        </w:rPr>
      </w:pPr>
    </w:p>
    <w:p w14:paraId="2D25C269" w14:textId="77777777" w:rsidR="00E37B1D" w:rsidRDefault="00965CD9" w:rsidP="00886677">
      <w:pPr>
        <w:jc w:val="both"/>
        <w:rPr>
          <w:lang w:val="en-US"/>
        </w:rPr>
      </w:pPr>
      <w:r w:rsidRPr="00965CD9">
        <w:rPr>
          <w:lang w:val="en-US"/>
        </w:rPr>
        <w:t xml:space="preserve">As Senior Approvals Expert at </w:t>
      </w:r>
      <w:r w:rsidR="000D046A">
        <w:rPr>
          <w:lang w:val="en-US"/>
        </w:rPr>
        <w:t>NMi</w:t>
      </w:r>
      <w:r w:rsidR="00B00DB0">
        <w:rPr>
          <w:lang w:val="en-US"/>
        </w:rPr>
        <w:t>,</w:t>
      </w:r>
      <w:r w:rsidRPr="00965CD9">
        <w:rPr>
          <w:lang w:val="en-US"/>
        </w:rPr>
        <w:t xml:space="preserve"> he is responsible for the implementation of standards and legislation </w:t>
      </w:r>
      <w:r w:rsidR="00B00DB0">
        <w:rPr>
          <w:lang w:val="en-US"/>
        </w:rPr>
        <w:t>required</w:t>
      </w:r>
      <w:r w:rsidR="00B00DB0" w:rsidRPr="00965CD9">
        <w:rPr>
          <w:lang w:val="en-US"/>
        </w:rPr>
        <w:t xml:space="preserve"> </w:t>
      </w:r>
      <w:r w:rsidRPr="00965CD9">
        <w:rPr>
          <w:lang w:val="en-US"/>
        </w:rPr>
        <w:t>for the certification of utility meters.</w:t>
      </w:r>
    </w:p>
    <w:p w14:paraId="1CA0111C" w14:textId="77777777" w:rsidR="0031347F" w:rsidRDefault="0031347F" w:rsidP="00886677">
      <w:pPr>
        <w:jc w:val="both"/>
        <w:rPr>
          <w:lang w:val="en-US"/>
        </w:rPr>
      </w:pPr>
    </w:p>
    <w:p w14:paraId="43BD2647" w14:textId="77777777" w:rsidR="0031347F" w:rsidRPr="0031347F" w:rsidRDefault="0031347F" w:rsidP="00886677">
      <w:pPr>
        <w:pStyle w:val="SensirionSubtitle"/>
        <w:jc w:val="both"/>
        <w:rPr>
          <w:b w:val="0"/>
          <w:i/>
          <w:lang w:val="en-US"/>
        </w:rPr>
      </w:pPr>
      <w:r w:rsidRPr="0031347F">
        <w:rPr>
          <w:b w:val="0"/>
          <w:i/>
          <w:lang w:val="en-US"/>
        </w:rPr>
        <w:t>Figure</w:t>
      </w:r>
      <w:r>
        <w:rPr>
          <w:b w:val="0"/>
          <w:i/>
          <w:lang w:val="en-US"/>
        </w:rPr>
        <w:t xml:space="preserve"> 4</w:t>
      </w:r>
      <w:r w:rsidRPr="0031347F">
        <w:rPr>
          <w:b w:val="0"/>
          <w:i/>
          <w:lang w:val="en-US"/>
        </w:rPr>
        <w:t>: Henri Schouten, Senior Approvals Expert at NMi</w:t>
      </w:r>
    </w:p>
    <w:p w14:paraId="4A725A18" w14:textId="77777777" w:rsidR="0031347F" w:rsidRDefault="0031347F" w:rsidP="00886677">
      <w:pPr>
        <w:jc w:val="both"/>
        <w:rPr>
          <w:lang w:val="en-US"/>
        </w:rPr>
      </w:pPr>
    </w:p>
    <w:p w14:paraId="1FF71E91" w14:textId="77777777" w:rsidR="0031347F" w:rsidRDefault="0031347F" w:rsidP="00886677">
      <w:pPr>
        <w:jc w:val="both"/>
        <w:rPr>
          <w:lang w:val="en-US"/>
        </w:rPr>
      </w:pPr>
    </w:p>
    <w:p w14:paraId="665C5DF7" w14:textId="77777777" w:rsidR="0031347F" w:rsidRDefault="0031347F" w:rsidP="00886677">
      <w:pPr>
        <w:jc w:val="both"/>
        <w:rPr>
          <w:lang w:val="en-US"/>
        </w:rPr>
      </w:pPr>
    </w:p>
    <w:p w14:paraId="008DBCE7" w14:textId="77777777" w:rsidR="00775D53" w:rsidRDefault="00775D53" w:rsidP="00886677">
      <w:pPr>
        <w:jc w:val="both"/>
        <w:rPr>
          <w:lang w:val="en-US"/>
        </w:rPr>
      </w:pPr>
    </w:p>
    <w:p w14:paraId="58949A2C" w14:textId="77777777" w:rsidR="0031347F" w:rsidRPr="00775D53" w:rsidRDefault="0031347F" w:rsidP="00886677">
      <w:pPr>
        <w:jc w:val="both"/>
        <w:rPr>
          <w:b/>
          <w:lang w:val="en-US"/>
        </w:rPr>
      </w:pPr>
      <w:r w:rsidRPr="0031347F">
        <w:rPr>
          <w:b/>
          <w:lang w:val="en-US"/>
        </w:rPr>
        <w:t>Author:</w:t>
      </w:r>
    </w:p>
    <w:p w14:paraId="57EB62ED" w14:textId="77777777" w:rsidR="0031347F" w:rsidRPr="0031347F" w:rsidRDefault="0031347F" w:rsidP="00886677">
      <w:pPr>
        <w:jc w:val="both"/>
      </w:pPr>
      <w:r w:rsidRPr="0031347F">
        <w:t>Dr. Moritz Mattmann</w:t>
      </w:r>
    </w:p>
    <w:p w14:paraId="7C3EF456" w14:textId="77777777" w:rsidR="0031347F" w:rsidRPr="0031347F" w:rsidRDefault="0031347F" w:rsidP="00886677">
      <w:pPr>
        <w:jc w:val="both"/>
      </w:pPr>
      <w:r w:rsidRPr="0031347F">
        <w:t>Product Manager Gas Metering</w:t>
      </w:r>
    </w:p>
    <w:p w14:paraId="16308A12" w14:textId="77777777" w:rsidR="0031347F" w:rsidRPr="0031347F" w:rsidRDefault="0031347F" w:rsidP="00886677">
      <w:pPr>
        <w:jc w:val="both"/>
      </w:pPr>
      <w:r w:rsidRPr="0031347F">
        <w:t>Sensirion AG</w:t>
      </w:r>
    </w:p>
    <w:p w14:paraId="5F2D8DB5" w14:textId="77777777" w:rsidR="0031347F" w:rsidRPr="0031347F" w:rsidRDefault="0031347F" w:rsidP="00886677">
      <w:pPr>
        <w:jc w:val="both"/>
      </w:pPr>
      <w:r w:rsidRPr="0031347F">
        <w:t>Laubisruetistrasse 50</w:t>
      </w:r>
    </w:p>
    <w:p w14:paraId="71A2494B" w14:textId="77777777" w:rsidR="0031347F" w:rsidRPr="0031347F" w:rsidRDefault="0031347F" w:rsidP="00886677">
      <w:pPr>
        <w:jc w:val="both"/>
        <w:rPr>
          <w:lang w:val="en-US"/>
        </w:rPr>
      </w:pPr>
      <w:r w:rsidRPr="0031347F">
        <w:rPr>
          <w:lang w:val="en-US"/>
        </w:rPr>
        <w:t>CH-8712 Staefa ZH</w:t>
      </w:r>
    </w:p>
    <w:p w14:paraId="79E2BBB4" w14:textId="77777777" w:rsidR="0031347F" w:rsidRDefault="0031347F" w:rsidP="00886677">
      <w:pPr>
        <w:jc w:val="both"/>
        <w:rPr>
          <w:lang w:val="en-US"/>
        </w:rPr>
      </w:pPr>
      <w:r w:rsidRPr="0031347F">
        <w:rPr>
          <w:lang w:val="en-US"/>
        </w:rPr>
        <w:t>Switzerland</w:t>
      </w:r>
    </w:p>
    <w:p w14:paraId="0A47D32B" w14:textId="77777777" w:rsidR="0031347F" w:rsidRDefault="0031347F" w:rsidP="00886677">
      <w:pPr>
        <w:jc w:val="both"/>
        <w:rPr>
          <w:lang w:val="en-US"/>
        </w:rPr>
      </w:pPr>
    </w:p>
    <w:p w14:paraId="007CC5F5" w14:textId="77777777" w:rsidR="0031347F" w:rsidRPr="0031347F" w:rsidRDefault="0031347F" w:rsidP="00886677">
      <w:pPr>
        <w:jc w:val="both"/>
        <w:rPr>
          <w:i/>
          <w:lang w:val="en-US"/>
        </w:rPr>
      </w:pPr>
      <w:r w:rsidRPr="0031347F">
        <w:rPr>
          <w:i/>
          <w:lang w:val="en-US"/>
        </w:rPr>
        <w:t>Figure 5: Moritz Mattmann, Product Manager Gas Metering, Sensirion AG</w:t>
      </w:r>
    </w:p>
    <w:sectPr w:rsidR="0031347F" w:rsidRPr="0031347F" w:rsidSect="00C5040D">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418" w:right="1418" w:bottom="1134" w:left="1418"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DB9B6E" w14:textId="77777777" w:rsidR="007524D6" w:rsidRDefault="007524D6" w:rsidP="0054380F">
      <w:pPr>
        <w:spacing w:line="240" w:lineRule="auto"/>
      </w:pPr>
      <w:r>
        <w:separator/>
      </w:r>
    </w:p>
  </w:endnote>
  <w:endnote w:type="continuationSeparator" w:id="0">
    <w:p w14:paraId="26A3B149" w14:textId="77777777" w:rsidR="007524D6" w:rsidRDefault="007524D6" w:rsidP="005438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Klavika Basic Regular">
    <w:altName w:val="Arial"/>
    <w:panose1 w:val="00000000000000000000"/>
    <w:charset w:val="00"/>
    <w:family w:val="swiss"/>
    <w:notTrueType/>
    <w:pitch w:val="variable"/>
    <w:sig w:usb0="00000001" w:usb1="00000000" w:usb2="00000000" w:usb3="00000000" w:csb0="0000009F" w:csb1="00000000"/>
  </w:font>
  <w:font w:name="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Fett">
    <w:panose1 w:val="00000000000000000000"/>
    <w:charset w:val="00"/>
    <w:family w:val="roman"/>
    <w:notTrueType/>
    <w:pitch w:val="default"/>
    <w:sig w:usb0="00000003" w:usb1="00000000" w:usb2="00000000" w:usb3="00000000" w:csb0="00000001" w:csb1="00000000"/>
  </w:font>
  <w:font w:name="ATP Univers">
    <w:charset w:val="00"/>
    <w:family w:val="swiss"/>
    <w:pitch w:val="variable"/>
    <w:sig w:usb0="800000AF" w:usb1="5000204A" w:usb2="00000000" w:usb3="00000000" w:csb0="0000009B"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35DDA5" w14:textId="77777777" w:rsidR="006E6296" w:rsidRDefault="006E6296">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8FC7EB" w14:textId="77777777" w:rsidR="009A1DA8" w:rsidRPr="00D91EAB" w:rsidRDefault="009A1DA8" w:rsidP="00D91EAB">
    <w:pPr>
      <w:pStyle w:val="Footer"/>
    </w:pPr>
    <w:r>
      <w:rPr>
        <w:szCs w:val="20"/>
      </w:rPr>
      <w:t>© Copyright Sensirion AG, Switzerland</w:t>
    </w:r>
    <w:r>
      <w:rPr>
        <w:szCs w:val="20"/>
      </w:rPr>
      <w:tab/>
    </w:r>
    <w:r>
      <w:rPr>
        <w:szCs w:val="20"/>
      </w:rPr>
      <w:tab/>
    </w:r>
    <w:r>
      <w:rPr>
        <w:rStyle w:val="PageNumber"/>
        <w:szCs w:val="20"/>
      </w:rPr>
      <w:fldChar w:fldCharType="begin"/>
    </w:r>
    <w:r>
      <w:rPr>
        <w:rStyle w:val="PageNumber"/>
        <w:szCs w:val="20"/>
      </w:rPr>
      <w:instrText xml:space="preserve"> PAGE </w:instrText>
    </w:r>
    <w:r>
      <w:rPr>
        <w:rStyle w:val="PageNumber"/>
        <w:szCs w:val="20"/>
      </w:rPr>
      <w:fldChar w:fldCharType="separate"/>
    </w:r>
    <w:r w:rsidR="00FB1822">
      <w:rPr>
        <w:rStyle w:val="PageNumber"/>
        <w:noProof/>
        <w:szCs w:val="20"/>
      </w:rPr>
      <w:t>2</w:t>
    </w:r>
    <w:r>
      <w:rPr>
        <w:rStyle w:val="PageNumber"/>
        <w:szCs w:val="20"/>
      </w:rPr>
      <w:fldChar w:fldCharType="end"/>
    </w:r>
    <w:r>
      <w:rPr>
        <w:rStyle w:val="PageNumber"/>
        <w:szCs w:val="20"/>
      </w:rPr>
      <w:t>/</w:t>
    </w:r>
    <w:r>
      <w:rPr>
        <w:rStyle w:val="PageNumber"/>
        <w:szCs w:val="20"/>
      </w:rPr>
      <w:fldChar w:fldCharType="begin"/>
    </w:r>
    <w:r>
      <w:rPr>
        <w:rStyle w:val="PageNumber"/>
        <w:szCs w:val="20"/>
      </w:rPr>
      <w:instrText xml:space="preserve"> NUMPAGES </w:instrText>
    </w:r>
    <w:r>
      <w:rPr>
        <w:rStyle w:val="PageNumber"/>
        <w:szCs w:val="20"/>
      </w:rPr>
      <w:fldChar w:fldCharType="separate"/>
    </w:r>
    <w:r w:rsidR="00FB1822">
      <w:rPr>
        <w:rStyle w:val="PageNumber"/>
        <w:noProof/>
        <w:szCs w:val="20"/>
      </w:rPr>
      <w:t>3</w:t>
    </w:r>
    <w:r>
      <w:rPr>
        <w:rStyle w:val="PageNumber"/>
        <w:szCs w:val="20"/>
      </w:rPr>
      <w:fldChar w:fldCharType="end"/>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1BAEE3" w14:textId="77777777" w:rsidR="009A1DA8" w:rsidRDefault="009A1DA8">
    <w:pPr>
      <w:pStyle w:val="Footer"/>
    </w:pPr>
    <w:r w:rsidRPr="00E94DCD">
      <w:tab/>
    </w:r>
    <w:r w:rsidRPr="00E94DCD">
      <w:tab/>
      <w:t xml:space="preserve">Seite </w:t>
    </w:r>
    <w:r w:rsidR="008D4E52">
      <w:fldChar w:fldCharType="begin"/>
    </w:r>
    <w:r w:rsidR="008D4E52">
      <w:instrText xml:space="preserve"> PAGE   \* MERGEFORMAT </w:instrText>
    </w:r>
    <w:r w:rsidR="008D4E52">
      <w:fldChar w:fldCharType="separate"/>
    </w:r>
    <w:r>
      <w:rPr>
        <w:noProof/>
      </w:rPr>
      <w:t>1</w:t>
    </w:r>
    <w:r w:rsidR="008D4E52">
      <w:rPr>
        <w:noProof/>
      </w:rPr>
      <w:fldChar w:fldCharType="end"/>
    </w:r>
    <w:r w:rsidRPr="00E94DCD">
      <w:t xml:space="preserve"> / </w:t>
    </w:r>
    <w:fldSimple w:instr=" NUMPAGES   \* MERGEFORMAT ">
      <w:r w:rsidR="00886677">
        <w:rPr>
          <w:noProof/>
        </w:rPr>
        <w:t>3</w:t>
      </w:r>
    </w:fldSimple>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8D0AB2" w14:textId="77777777" w:rsidR="007524D6" w:rsidRDefault="007524D6" w:rsidP="0054380F">
      <w:pPr>
        <w:spacing w:line="240" w:lineRule="auto"/>
      </w:pPr>
      <w:r>
        <w:separator/>
      </w:r>
    </w:p>
  </w:footnote>
  <w:footnote w:type="continuationSeparator" w:id="0">
    <w:p w14:paraId="64E5A759" w14:textId="77777777" w:rsidR="007524D6" w:rsidRDefault="007524D6" w:rsidP="0054380F">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F2D89" w14:textId="77777777" w:rsidR="006E6296" w:rsidRDefault="006E6296">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DA48E3" w14:textId="77777777" w:rsidR="009A1DA8" w:rsidRDefault="009A1DA8">
    <w:pPr>
      <w:pStyle w:val="Header"/>
    </w:pPr>
    <w:r>
      <w:rPr>
        <w:noProof/>
        <w:lang w:val="en-US"/>
      </w:rPr>
      <w:drawing>
        <wp:anchor distT="0" distB="0" distL="114300" distR="114300" simplePos="0" relativeHeight="251658240" behindDoc="0" locked="0" layoutInCell="1" allowOverlap="1" wp14:anchorId="301049B4" wp14:editId="7BE841AC">
          <wp:simplePos x="0" y="0"/>
          <wp:positionH relativeFrom="column">
            <wp:posOffset>4307205</wp:posOffset>
          </wp:positionH>
          <wp:positionV relativeFrom="paragraph">
            <wp:posOffset>-17145</wp:posOffset>
          </wp:positionV>
          <wp:extent cx="1478915" cy="292100"/>
          <wp:effectExtent l="0" t="0" r="6985" b="0"/>
          <wp:wrapSquare wrapText="bothSides"/>
          <wp:docPr id="3" name="Bild 6" descr="Sensirion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6" descr="Sensirion_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8915" cy="292100"/>
                  </a:xfrm>
                  <a:prstGeom prst="rect">
                    <a:avLst/>
                  </a:prstGeom>
                  <a:noFill/>
                  <a:ln>
                    <a:noFill/>
                  </a:ln>
                </pic:spPr>
              </pic:pic>
            </a:graphicData>
          </a:graphic>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8F2FEE" w14:textId="77777777" w:rsidR="009A1DA8" w:rsidRDefault="009A1DA8">
    <w:pPr>
      <w:pStyle w:val="Header"/>
    </w:pPr>
    <w:r>
      <w:rPr>
        <w:noProof/>
        <w:lang w:val="en-US"/>
      </w:rPr>
      <w:drawing>
        <wp:anchor distT="0" distB="0" distL="114300" distR="114300" simplePos="0" relativeHeight="251657216" behindDoc="1" locked="0" layoutInCell="1" allowOverlap="1" wp14:anchorId="182C6809" wp14:editId="7A9FE12E">
          <wp:simplePos x="0" y="0"/>
          <wp:positionH relativeFrom="column">
            <wp:posOffset>4528820</wp:posOffset>
          </wp:positionH>
          <wp:positionV relativeFrom="paragraph">
            <wp:posOffset>102235</wp:posOffset>
          </wp:positionV>
          <wp:extent cx="1438275" cy="247650"/>
          <wp:effectExtent l="0" t="0" r="9525" b="0"/>
          <wp:wrapNone/>
          <wp:docPr id="1" name="Grafik 0" descr="Sensirion_green_cmyk_300dpi_4cm.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0" descr="Sensirion_green_cmyk_300dpi_4cm.wm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247650"/>
                  </a:xfrm>
                  <a:prstGeom prst="rect">
                    <a:avLst/>
                  </a:prstGeom>
                  <a:noFill/>
                  <a:ln>
                    <a:noFill/>
                  </a:ln>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8E3E874C"/>
    <w:lvl w:ilvl="0">
      <w:start w:val="1"/>
      <w:numFmt w:val="bullet"/>
      <w:pStyle w:val="ListBullet5"/>
      <w:lvlText w:val=""/>
      <w:lvlJc w:val="left"/>
      <w:pPr>
        <w:tabs>
          <w:tab w:val="num" w:pos="1492"/>
        </w:tabs>
        <w:ind w:left="1492" w:hanging="360"/>
      </w:pPr>
      <w:rPr>
        <w:rFonts w:ascii="Symbol" w:hAnsi="Symbol" w:hint="default"/>
      </w:rPr>
    </w:lvl>
  </w:abstractNum>
  <w:abstractNum w:abstractNumId="1">
    <w:nsid w:val="FFFFFF81"/>
    <w:multiLevelType w:val="singleLevel"/>
    <w:tmpl w:val="E3AE49C6"/>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2"/>
    <w:multiLevelType w:val="singleLevel"/>
    <w:tmpl w:val="70F85AEE"/>
    <w:lvl w:ilvl="0">
      <w:start w:val="1"/>
      <w:numFmt w:val="bullet"/>
      <w:pStyle w:val="ListBullet3"/>
      <w:lvlText w:val=""/>
      <w:lvlJc w:val="left"/>
      <w:pPr>
        <w:tabs>
          <w:tab w:val="num" w:pos="926"/>
        </w:tabs>
        <w:ind w:left="926" w:hanging="360"/>
      </w:pPr>
      <w:rPr>
        <w:rFonts w:ascii="Symbol" w:hAnsi="Symbol" w:hint="default"/>
      </w:rPr>
    </w:lvl>
  </w:abstractNum>
  <w:abstractNum w:abstractNumId="3">
    <w:nsid w:val="FFFFFF83"/>
    <w:multiLevelType w:val="singleLevel"/>
    <w:tmpl w:val="D2FE1238"/>
    <w:lvl w:ilvl="0">
      <w:start w:val="1"/>
      <w:numFmt w:val="bullet"/>
      <w:pStyle w:val="ListBullet2"/>
      <w:lvlText w:val=""/>
      <w:lvlJc w:val="left"/>
      <w:pPr>
        <w:tabs>
          <w:tab w:val="num" w:pos="643"/>
        </w:tabs>
        <w:ind w:left="643" w:hanging="360"/>
      </w:pPr>
      <w:rPr>
        <w:rFonts w:ascii="Symbol" w:hAnsi="Symbol" w:hint="default"/>
      </w:rPr>
    </w:lvl>
  </w:abstractNum>
  <w:abstractNum w:abstractNumId="4">
    <w:nsid w:val="02703A3B"/>
    <w:multiLevelType w:val="multilevel"/>
    <w:tmpl w:val="6832C370"/>
    <w:styleLink w:val="SensirionListe"/>
    <w:lvl w:ilvl="0">
      <w:start w:val="1"/>
      <w:numFmt w:val="bullet"/>
      <w:pStyle w:val="BulletpointsLevel1"/>
      <w:lvlText w:val=""/>
      <w:lvlJc w:val="left"/>
      <w:pPr>
        <w:tabs>
          <w:tab w:val="num" w:pos="454"/>
        </w:tabs>
        <w:ind w:left="454" w:hanging="454"/>
      </w:pPr>
      <w:rPr>
        <w:rFonts w:ascii="Wingdings" w:hAnsi="Wingdings" w:hint="default"/>
      </w:rPr>
    </w:lvl>
    <w:lvl w:ilvl="1">
      <w:start w:val="1"/>
      <w:numFmt w:val="bullet"/>
      <w:pStyle w:val="BulletpointsLevel2"/>
      <w:lvlText w:val=""/>
      <w:lvlJc w:val="left"/>
      <w:pPr>
        <w:tabs>
          <w:tab w:val="num" w:pos="680"/>
        </w:tabs>
        <w:ind w:left="680" w:hanging="226"/>
      </w:pPr>
      <w:rPr>
        <w:rFonts w:ascii="Wingdings" w:hAnsi="Wingdings" w:hint="default"/>
      </w:rPr>
    </w:lvl>
    <w:lvl w:ilvl="2">
      <w:start w:val="1"/>
      <w:numFmt w:val="decimal"/>
      <w:pStyle w:val="Numbering"/>
      <w:lvlText w:val="%3."/>
      <w:lvlJc w:val="left"/>
      <w:pPr>
        <w:tabs>
          <w:tab w:val="num" w:pos="454"/>
        </w:tabs>
        <w:ind w:left="454" w:hanging="454"/>
      </w:pPr>
      <w:rPr>
        <w:rFonts w:hint="default"/>
      </w:rPr>
    </w:lvl>
    <w:lvl w:ilvl="3">
      <w:start w:val="1"/>
      <w:numFmt w:val="lowerLetter"/>
      <w:pStyle w:val="Lettering"/>
      <w:lvlText w:val="%4)"/>
      <w:lvlJc w:val="left"/>
      <w:pPr>
        <w:tabs>
          <w:tab w:val="num" w:pos="454"/>
        </w:tabs>
        <w:ind w:left="454" w:hanging="454"/>
      </w:pPr>
      <w:rPr>
        <w:rFonts w:hint="default"/>
      </w:rPr>
    </w:lvl>
    <w:lvl w:ilvl="4">
      <w:start w:val="1"/>
      <w:numFmt w:val="ordinal"/>
      <w:lvlText w:val="%5)"/>
      <w:lvlJc w:val="left"/>
      <w:pPr>
        <w:tabs>
          <w:tab w:val="num" w:pos="454"/>
        </w:tabs>
        <w:ind w:left="454" w:hanging="454"/>
      </w:pPr>
      <w:rPr>
        <w:rFonts w:hint="default"/>
      </w:rPr>
    </w:lvl>
    <w:lvl w:ilvl="5">
      <w:start w:val="1"/>
      <w:numFmt w:val="decimal"/>
      <w:lvlText w:val="%6."/>
      <w:lvlJc w:val="left"/>
      <w:pPr>
        <w:tabs>
          <w:tab w:val="num" w:pos="851"/>
        </w:tabs>
        <w:ind w:left="851" w:hanging="397"/>
      </w:pPr>
      <w:rPr>
        <w:rFonts w:hint="default"/>
      </w:rPr>
    </w:lvl>
    <w:lvl w:ilvl="6">
      <w:start w:val="1"/>
      <w:numFmt w:val="lowerLetter"/>
      <w:lvlText w:val="%7)"/>
      <w:lvlJc w:val="left"/>
      <w:pPr>
        <w:tabs>
          <w:tab w:val="num" w:pos="851"/>
        </w:tabs>
        <w:ind w:left="851" w:hanging="397"/>
      </w:pPr>
      <w:rPr>
        <w:rFonts w:hint="default"/>
      </w:rPr>
    </w:lvl>
    <w:lvl w:ilvl="7">
      <w:start w:val="1"/>
      <w:numFmt w:val="none"/>
      <w:pStyle w:val="noBulletpoint"/>
      <w:lvlText w:val="%8"/>
      <w:lvlJc w:val="left"/>
      <w:pPr>
        <w:tabs>
          <w:tab w:val="num" w:pos="454"/>
        </w:tabs>
        <w:ind w:left="454" w:hanging="454"/>
      </w:pPr>
      <w:rPr>
        <w:rFonts w:hint="default"/>
      </w:rPr>
    </w:lvl>
    <w:lvl w:ilvl="8">
      <w:start w:val="1"/>
      <w:numFmt w:val="none"/>
      <w:lvlText w:val="%9"/>
      <w:lvlJc w:val="left"/>
      <w:pPr>
        <w:tabs>
          <w:tab w:val="num" w:pos="851"/>
        </w:tabs>
        <w:ind w:left="851" w:hanging="397"/>
      </w:pPr>
      <w:rPr>
        <w:rFonts w:hint="default"/>
      </w:rPr>
    </w:lvl>
  </w:abstractNum>
  <w:abstractNum w:abstractNumId="5">
    <w:nsid w:val="0EA210A9"/>
    <w:multiLevelType w:val="multilevel"/>
    <w:tmpl w:val="0407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8900D5F"/>
    <w:multiLevelType w:val="multilevel"/>
    <w:tmpl w:val="C47C631C"/>
    <w:lvl w:ilvl="0">
      <w:start w:val="1"/>
      <w:numFmt w:val="bullet"/>
      <w:lvlText w:val=""/>
      <w:lvlJc w:val="left"/>
      <w:pPr>
        <w:tabs>
          <w:tab w:val="num" w:pos="454"/>
        </w:tabs>
        <w:ind w:left="454" w:hanging="454"/>
      </w:pPr>
      <w:rPr>
        <w:rFonts w:ascii="Wingdings" w:hAnsi="Wingdings" w:hint="default"/>
      </w:rPr>
    </w:lvl>
    <w:lvl w:ilvl="1">
      <w:start w:val="1"/>
      <w:numFmt w:val="bullet"/>
      <w:lvlText w:val=""/>
      <w:lvlJc w:val="left"/>
      <w:pPr>
        <w:tabs>
          <w:tab w:val="num" w:pos="680"/>
        </w:tabs>
        <w:ind w:left="680" w:hanging="226"/>
      </w:pPr>
      <w:rPr>
        <w:rFonts w:ascii="Wingdings" w:hAnsi="Wingdings" w:hint="default"/>
      </w:rPr>
    </w:lvl>
    <w:lvl w:ilvl="2">
      <w:start w:val="1"/>
      <w:numFmt w:val="decimal"/>
      <w:lvlText w:val="%3."/>
      <w:lvlJc w:val="left"/>
      <w:pPr>
        <w:tabs>
          <w:tab w:val="num" w:pos="454"/>
        </w:tabs>
        <w:ind w:left="454" w:hanging="454"/>
      </w:pPr>
      <w:rPr>
        <w:rFonts w:hint="default"/>
      </w:rPr>
    </w:lvl>
    <w:lvl w:ilvl="3">
      <w:start w:val="1"/>
      <w:numFmt w:val="lowerLetter"/>
      <w:lvlText w:val="%4)"/>
      <w:lvlJc w:val="left"/>
      <w:pPr>
        <w:tabs>
          <w:tab w:val="num" w:pos="454"/>
        </w:tabs>
        <w:ind w:left="454" w:hanging="454"/>
      </w:pPr>
      <w:rPr>
        <w:rFonts w:hint="default"/>
      </w:rPr>
    </w:lvl>
    <w:lvl w:ilvl="4">
      <w:start w:val="1"/>
      <w:numFmt w:val="ordinal"/>
      <w:lvlText w:val="%5)"/>
      <w:lvlJc w:val="left"/>
      <w:pPr>
        <w:tabs>
          <w:tab w:val="num" w:pos="454"/>
        </w:tabs>
        <w:ind w:left="454" w:hanging="454"/>
      </w:pPr>
      <w:rPr>
        <w:rFonts w:hint="default"/>
      </w:rPr>
    </w:lvl>
    <w:lvl w:ilvl="5">
      <w:start w:val="1"/>
      <w:numFmt w:val="decimal"/>
      <w:lvlText w:val="%6."/>
      <w:lvlJc w:val="left"/>
      <w:pPr>
        <w:tabs>
          <w:tab w:val="num" w:pos="851"/>
        </w:tabs>
        <w:ind w:left="851" w:hanging="397"/>
      </w:pPr>
      <w:rPr>
        <w:rFonts w:hint="default"/>
      </w:rPr>
    </w:lvl>
    <w:lvl w:ilvl="6">
      <w:start w:val="1"/>
      <w:numFmt w:val="lowerLetter"/>
      <w:lvlText w:val="%7)"/>
      <w:lvlJc w:val="left"/>
      <w:pPr>
        <w:tabs>
          <w:tab w:val="num" w:pos="851"/>
        </w:tabs>
        <w:ind w:left="851" w:hanging="397"/>
      </w:pPr>
      <w:rPr>
        <w:rFonts w:hint="default"/>
      </w:rPr>
    </w:lvl>
    <w:lvl w:ilvl="7">
      <w:start w:val="1"/>
      <w:numFmt w:val="none"/>
      <w:lvlText w:val="%8"/>
      <w:lvlJc w:val="left"/>
      <w:pPr>
        <w:tabs>
          <w:tab w:val="num" w:pos="454"/>
        </w:tabs>
        <w:ind w:left="454" w:hanging="454"/>
      </w:pPr>
      <w:rPr>
        <w:rFonts w:hint="default"/>
      </w:rPr>
    </w:lvl>
    <w:lvl w:ilvl="8">
      <w:start w:val="1"/>
      <w:numFmt w:val="none"/>
      <w:lvlText w:val="%9"/>
      <w:lvlJc w:val="left"/>
      <w:pPr>
        <w:tabs>
          <w:tab w:val="num" w:pos="851"/>
        </w:tabs>
        <w:ind w:left="851" w:hanging="397"/>
      </w:pPr>
      <w:rPr>
        <w:rFonts w:hint="default"/>
      </w:rPr>
    </w:lvl>
  </w:abstractNum>
  <w:abstractNum w:abstractNumId="7">
    <w:nsid w:val="284477E6"/>
    <w:multiLevelType w:val="multilevel"/>
    <w:tmpl w:val="0807001D"/>
    <w:styleLink w:val="Nummerierung1"/>
    <w:lvl w:ilvl="0">
      <w:start w:val="1"/>
      <w:numFmt w:val="decimal"/>
      <w:pStyle w:val="Nummerierung"/>
      <w:lvlText w:val="%1)"/>
      <w:lvlJc w:val="left"/>
      <w:pPr>
        <w:ind w:left="360" w:hanging="360"/>
      </w:pPr>
      <w:rPr>
        <w:rFonts w:ascii="Klavika Basic Regular" w:hAnsi="Klavika Basic Regular"/>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Wingdings" w:hAnsi="Wingdings" w:hint="default"/>
      </w:rPr>
    </w:lvl>
    <w:lvl w:ilvl="8">
      <w:start w:val="1"/>
      <w:numFmt w:val="bullet"/>
      <w:lvlText w:val=""/>
      <w:lvlJc w:val="left"/>
      <w:pPr>
        <w:ind w:left="3240" w:hanging="360"/>
      </w:pPr>
      <w:rPr>
        <w:rFonts w:ascii="Wingdings" w:hAnsi="Wingdings" w:hint="default"/>
      </w:rPr>
    </w:lvl>
  </w:abstractNum>
  <w:abstractNum w:abstractNumId="8">
    <w:nsid w:val="28EF1217"/>
    <w:multiLevelType w:val="multilevel"/>
    <w:tmpl w:val="EA46321C"/>
    <w:lvl w:ilvl="0">
      <w:start w:val="1"/>
      <w:numFmt w:val="decimal"/>
      <w:lvlText w:val="%1)"/>
      <w:lvlJc w:val="left"/>
      <w:pPr>
        <w:ind w:left="360" w:hanging="360"/>
      </w:pPr>
      <w:rPr>
        <w:rFonts w:ascii="Klavika Basic Regular" w:hAnsi="Klavika Basic Regular"/>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Wingdings" w:hAnsi="Wingdings" w:hint="default"/>
      </w:rPr>
    </w:lvl>
    <w:lvl w:ilvl="8">
      <w:start w:val="1"/>
      <w:numFmt w:val="bullet"/>
      <w:lvlText w:val=""/>
      <w:lvlJc w:val="left"/>
      <w:pPr>
        <w:ind w:left="3240" w:hanging="360"/>
      </w:pPr>
      <w:rPr>
        <w:rFonts w:ascii="Wingdings" w:hAnsi="Wingdings" w:hint="default"/>
      </w:rPr>
    </w:lvl>
  </w:abstractNum>
  <w:abstractNum w:abstractNumId="9">
    <w:nsid w:val="3FF729E4"/>
    <w:multiLevelType w:val="multilevel"/>
    <w:tmpl w:val="8F8EB2E4"/>
    <w:lvl w:ilvl="0">
      <w:start w:val="1"/>
      <w:numFmt w:val="decimal"/>
      <w:pStyle w:val="Heading1"/>
      <w:lvlText w:val="%1"/>
      <w:lvlJc w:val="left"/>
      <w:pPr>
        <w:ind w:left="360" w:hanging="360"/>
      </w:pPr>
      <w:rPr>
        <w:rFonts w:ascii="Arial Narrow" w:hAnsi="Arial Narrow" w:hint="default"/>
        <w:b/>
        <w:i w:val="0"/>
        <w:color w:val="auto"/>
        <w:sz w:val="28"/>
        <w:szCs w:val="28"/>
        <w:u w:val="none"/>
      </w:rPr>
    </w:lvl>
    <w:lvl w:ilvl="1">
      <w:start w:val="1"/>
      <w:numFmt w:val="decimal"/>
      <w:pStyle w:val="Heading2"/>
      <w:lvlText w:val="%1.%2"/>
      <w:lvlJc w:val="left"/>
      <w:pPr>
        <w:tabs>
          <w:tab w:val="num" w:pos="-171"/>
        </w:tabs>
        <w:ind w:left="0" w:firstLine="0"/>
      </w:pPr>
      <w:rPr>
        <w:rFonts w:hint="default"/>
      </w:rPr>
    </w:lvl>
    <w:lvl w:ilvl="2">
      <w:start w:val="1"/>
      <w:numFmt w:val="decimal"/>
      <w:pStyle w:val="Heading3"/>
      <w:lvlText w:val="%1.%2.%3"/>
      <w:lvlJc w:val="left"/>
      <w:pPr>
        <w:tabs>
          <w:tab w:val="num" w:pos="-171"/>
        </w:tabs>
        <w:ind w:left="0" w:firstLine="0"/>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b w:val="0"/>
        <w:bCs/>
        <w:i w:val="0"/>
        <w:color w:val="auto"/>
        <w:sz w:val="22"/>
        <w:szCs w:val="22"/>
        <w:u w:val="none"/>
      </w:rPr>
    </w:lvl>
    <w:lvl w:ilvl="5">
      <w:start w:val="1"/>
      <w:numFmt w:val="decimal"/>
      <w:pStyle w:val="Heading6"/>
      <w:lvlText w:val="%1.%2.%3.%4.%5.%6"/>
      <w:lvlJc w:val="left"/>
      <w:pPr>
        <w:tabs>
          <w:tab w:val="num" w:pos="2236"/>
        </w:tabs>
        <w:ind w:left="2092" w:hanging="936"/>
      </w:pPr>
      <w:rPr>
        <w:rFonts w:hint="default"/>
      </w:rPr>
    </w:lvl>
    <w:lvl w:ilvl="6">
      <w:start w:val="1"/>
      <w:numFmt w:val="decimal"/>
      <w:pStyle w:val="Heading7"/>
      <w:lvlText w:val="%1.%2.%3.%4.%5.%6.%7"/>
      <w:lvlJc w:val="left"/>
      <w:pPr>
        <w:tabs>
          <w:tab w:val="num" w:pos="2956"/>
        </w:tabs>
        <w:ind w:left="2596" w:hanging="1080"/>
      </w:pPr>
      <w:rPr>
        <w:rFonts w:hint="default"/>
      </w:rPr>
    </w:lvl>
    <w:lvl w:ilvl="7">
      <w:start w:val="1"/>
      <w:numFmt w:val="decimal"/>
      <w:pStyle w:val="Heading8"/>
      <w:lvlText w:val="%1.%2.%3.%4.%5.%6.%7.%8"/>
      <w:lvlJc w:val="left"/>
      <w:pPr>
        <w:tabs>
          <w:tab w:val="num" w:pos="3316"/>
        </w:tabs>
        <w:ind w:left="3100" w:hanging="1224"/>
      </w:pPr>
      <w:rPr>
        <w:rFonts w:hint="default"/>
      </w:rPr>
    </w:lvl>
    <w:lvl w:ilvl="8">
      <w:start w:val="1"/>
      <w:numFmt w:val="decimal"/>
      <w:pStyle w:val="Heading9"/>
      <w:lvlText w:val="%1.%2.%3.%4.%5.%6.%7.%8.%9"/>
      <w:lvlJc w:val="left"/>
      <w:pPr>
        <w:tabs>
          <w:tab w:val="num" w:pos="4036"/>
        </w:tabs>
        <w:ind w:left="3676" w:hanging="1440"/>
      </w:pPr>
      <w:rPr>
        <w:rFonts w:hint="default"/>
      </w:rPr>
    </w:lvl>
  </w:abstractNum>
  <w:abstractNum w:abstractNumId="10">
    <w:nsid w:val="43BF43B8"/>
    <w:multiLevelType w:val="multilevel"/>
    <w:tmpl w:val="CD1A149C"/>
    <w:lvl w:ilvl="0">
      <w:start w:val="1"/>
      <w:numFmt w:val="bullet"/>
      <w:lvlText w:val=""/>
      <w:lvlJc w:val="left"/>
      <w:pPr>
        <w:ind w:left="454" w:hanging="454"/>
      </w:pPr>
      <w:rPr>
        <w:rFonts w:ascii="Symbol" w:hAnsi="Symbol" w:hint="default"/>
      </w:rPr>
    </w:lvl>
    <w:lvl w:ilvl="1">
      <w:start w:val="1"/>
      <w:numFmt w:val="bullet"/>
      <w:lvlText w:val=""/>
      <w:lvlJc w:val="left"/>
      <w:pPr>
        <w:tabs>
          <w:tab w:val="num" w:pos="907"/>
        </w:tabs>
        <w:ind w:left="907" w:hanging="453"/>
      </w:pPr>
      <w:rPr>
        <w:rFonts w:ascii="Symbol" w:hAnsi="Symbol" w:hint="default"/>
      </w:rPr>
    </w:lvl>
    <w:lvl w:ilvl="2">
      <w:start w:val="1"/>
      <w:numFmt w:val="bullet"/>
      <w:lvlText w:val=""/>
      <w:lvlJc w:val="left"/>
      <w:pPr>
        <w:tabs>
          <w:tab w:val="num" w:pos="1361"/>
        </w:tabs>
        <w:ind w:left="1361" w:hanging="454"/>
      </w:pPr>
      <w:rPr>
        <w:rFonts w:ascii="Symbol" w:hAnsi="Symbol" w:hint="default"/>
      </w:rPr>
    </w:lvl>
    <w:lvl w:ilvl="3">
      <w:start w:val="1"/>
      <w:numFmt w:val="lowerLetter"/>
      <w:lvlText w:val="%4)"/>
      <w:lvlJc w:val="left"/>
      <w:pPr>
        <w:ind w:left="454" w:hanging="454"/>
      </w:pPr>
      <w:rPr>
        <w:rFonts w:hint="default"/>
      </w:rPr>
    </w:lvl>
    <w:lvl w:ilvl="4">
      <w:start w:val="1"/>
      <w:numFmt w:val="bullet"/>
      <w:lvlText w:val=""/>
      <w:lvlJc w:val="left"/>
      <w:pPr>
        <w:tabs>
          <w:tab w:val="num" w:pos="907"/>
        </w:tabs>
        <w:ind w:left="907" w:hanging="453"/>
      </w:pPr>
      <w:rPr>
        <w:rFonts w:ascii="Wingdings" w:hAnsi="Wingdings" w:hint="default"/>
      </w:rPr>
    </w:lvl>
    <w:lvl w:ilvl="5">
      <w:start w:val="1"/>
      <w:numFmt w:val="ordinal"/>
      <w:lvlText w:val="%6"/>
      <w:lvlJc w:val="left"/>
      <w:pPr>
        <w:ind w:left="454" w:hanging="454"/>
      </w:pPr>
      <w:rPr>
        <w:rFonts w:hint="default"/>
      </w:rPr>
    </w:lvl>
    <w:lvl w:ilvl="6">
      <w:start w:val="1"/>
      <w:numFmt w:val="bullet"/>
      <w:lvlText w:val=""/>
      <w:lvlJc w:val="left"/>
      <w:pPr>
        <w:tabs>
          <w:tab w:val="num" w:pos="907"/>
        </w:tabs>
        <w:ind w:left="907" w:hanging="453"/>
      </w:pPr>
      <w:rPr>
        <w:rFonts w:ascii="Wingdings" w:hAnsi="Wingdings" w:hint="default"/>
      </w:rPr>
    </w:lvl>
    <w:lvl w:ilvl="7">
      <w:start w:val="1"/>
      <w:numFmt w:val="upperRoman"/>
      <w:lvlText w:val="%8."/>
      <w:lvlJc w:val="left"/>
      <w:pPr>
        <w:ind w:left="454" w:hanging="454"/>
      </w:pPr>
      <w:rPr>
        <w:rFonts w:hint="default"/>
      </w:rPr>
    </w:lvl>
    <w:lvl w:ilvl="8">
      <w:start w:val="1"/>
      <w:numFmt w:val="bullet"/>
      <w:lvlText w:val=""/>
      <w:lvlJc w:val="left"/>
      <w:pPr>
        <w:tabs>
          <w:tab w:val="num" w:pos="907"/>
        </w:tabs>
        <w:ind w:left="907" w:hanging="453"/>
      </w:pPr>
      <w:rPr>
        <w:rFonts w:ascii="Wingdings" w:hAnsi="Wingdings" w:hint="default"/>
      </w:rPr>
    </w:lvl>
  </w:abstractNum>
  <w:abstractNum w:abstractNumId="11">
    <w:nsid w:val="48BB66EF"/>
    <w:multiLevelType w:val="multilevel"/>
    <w:tmpl w:val="0807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53116C27"/>
    <w:multiLevelType w:val="multilevel"/>
    <w:tmpl w:val="0E88ED38"/>
    <w:styleLink w:val="MediasuiteListe"/>
    <w:lvl w:ilvl="0">
      <w:start w:val="1"/>
      <w:numFmt w:val="bullet"/>
      <w:pStyle w:val="BulletpointsEbene1"/>
      <w:lvlText w:val=""/>
      <w:lvlJc w:val="left"/>
      <w:pPr>
        <w:ind w:left="454" w:hanging="454"/>
      </w:pPr>
      <w:rPr>
        <w:rFonts w:ascii="Symbol" w:hAnsi="Symbol" w:hint="default"/>
      </w:rPr>
    </w:lvl>
    <w:lvl w:ilvl="1">
      <w:start w:val="1"/>
      <w:numFmt w:val="bullet"/>
      <w:pStyle w:val="BulletpointsEbene2"/>
      <w:lvlText w:val=""/>
      <w:lvlJc w:val="left"/>
      <w:pPr>
        <w:tabs>
          <w:tab w:val="num" w:pos="907"/>
        </w:tabs>
        <w:ind w:left="907" w:hanging="453"/>
      </w:pPr>
      <w:rPr>
        <w:rFonts w:ascii="Symbol" w:hAnsi="Symbol" w:hint="default"/>
      </w:rPr>
    </w:lvl>
    <w:lvl w:ilvl="2">
      <w:start w:val="1"/>
      <w:numFmt w:val="bullet"/>
      <w:lvlText w:val=""/>
      <w:lvlJc w:val="left"/>
      <w:pPr>
        <w:tabs>
          <w:tab w:val="num" w:pos="1361"/>
        </w:tabs>
        <w:ind w:left="1361" w:hanging="454"/>
      </w:pPr>
      <w:rPr>
        <w:rFonts w:ascii="Symbol" w:hAnsi="Symbol" w:hint="default"/>
      </w:rPr>
    </w:lvl>
    <w:lvl w:ilvl="3">
      <w:start w:val="1"/>
      <w:numFmt w:val="lowerLetter"/>
      <w:lvlText w:val="%4)"/>
      <w:lvlJc w:val="left"/>
      <w:pPr>
        <w:ind w:left="454" w:hanging="454"/>
      </w:pPr>
      <w:rPr>
        <w:rFonts w:hint="default"/>
      </w:rPr>
    </w:lvl>
    <w:lvl w:ilvl="4">
      <w:start w:val="1"/>
      <w:numFmt w:val="bullet"/>
      <w:lvlText w:val=""/>
      <w:lvlJc w:val="left"/>
      <w:pPr>
        <w:tabs>
          <w:tab w:val="num" w:pos="907"/>
        </w:tabs>
        <w:ind w:left="907" w:hanging="453"/>
      </w:pPr>
      <w:rPr>
        <w:rFonts w:ascii="Wingdings" w:hAnsi="Wingdings" w:hint="default"/>
      </w:rPr>
    </w:lvl>
    <w:lvl w:ilvl="5">
      <w:start w:val="1"/>
      <w:numFmt w:val="ordinal"/>
      <w:lvlText w:val="%6"/>
      <w:lvlJc w:val="left"/>
      <w:pPr>
        <w:ind w:left="454" w:hanging="454"/>
      </w:pPr>
      <w:rPr>
        <w:rFonts w:hint="default"/>
      </w:rPr>
    </w:lvl>
    <w:lvl w:ilvl="6">
      <w:start w:val="1"/>
      <w:numFmt w:val="bullet"/>
      <w:lvlText w:val=""/>
      <w:lvlJc w:val="left"/>
      <w:pPr>
        <w:tabs>
          <w:tab w:val="num" w:pos="907"/>
        </w:tabs>
        <w:ind w:left="907" w:hanging="453"/>
      </w:pPr>
      <w:rPr>
        <w:rFonts w:ascii="Wingdings" w:hAnsi="Wingdings" w:hint="default"/>
      </w:rPr>
    </w:lvl>
    <w:lvl w:ilvl="7">
      <w:start w:val="1"/>
      <w:numFmt w:val="upperRoman"/>
      <w:lvlText w:val="%8."/>
      <w:lvlJc w:val="left"/>
      <w:pPr>
        <w:ind w:left="454" w:hanging="454"/>
      </w:pPr>
      <w:rPr>
        <w:rFonts w:hint="default"/>
      </w:rPr>
    </w:lvl>
    <w:lvl w:ilvl="8">
      <w:start w:val="1"/>
      <w:numFmt w:val="bullet"/>
      <w:lvlText w:val=""/>
      <w:lvlJc w:val="left"/>
      <w:pPr>
        <w:tabs>
          <w:tab w:val="num" w:pos="907"/>
        </w:tabs>
        <w:ind w:left="907" w:hanging="453"/>
      </w:pPr>
      <w:rPr>
        <w:rFonts w:ascii="Wingdings" w:hAnsi="Wingdings" w:hint="default"/>
      </w:rPr>
    </w:lvl>
  </w:abstractNum>
  <w:abstractNum w:abstractNumId="13">
    <w:nsid w:val="536A571F"/>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4">
    <w:nsid w:val="5760568E"/>
    <w:multiLevelType w:val="multilevel"/>
    <w:tmpl w:val="0807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13"/>
  </w:num>
  <w:num w:numId="3">
    <w:abstractNumId w:val="11"/>
  </w:num>
  <w:num w:numId="4">
    <w:abstractNumId w:val="5"/>
  </w:num>
  <w:num w:numId="5">
    <w:abstractNumId w:val="3"/>
  </w:num>
  <w:num w:numId="6">
    <w:abstractNumId w:val="3"/>
  </w:num>
  <w:num w:numId="7">
    <w:abstractNumId w:val="2"/>
  </w:num>
  <w:num w:numId="8">
    <w:abstractNumId w:val="2"/>
  </w:num>
  <w:num w:numId="9">
    <w:abstractNumId w:val="1"/>
  </w:num>
  <w:num w:numId="10">
    <w:abstractNumId w:val="1"/>
  </w:num>
  <w:num w:numId="11">
    <w:abstractNumId w:val="0"/>
  </w:num>
  <w:num w:numId="12">
    <w:abstractNumId w:val="0"/>
  </w:num>
  <w:num w:numId="13">
    <w:abstractNumId w:val="10"/>
  </w:num>
  <w:num w:numId="14">
    <w:abstractNumId w:val="10"/>
  </w:num>
  <w:num w:numId="15">
    <w:abstractNumId w:val="12"/>
  </w:num>
  <w:num w:numId="16">
    <w:abstractNumId w:val="8"/>
  </w:num>
  <w:num w:numId="17">
    <w:abstractNumId w:val="7"/>
  </w:num>
  <w:num w:numId="18">
    <w:abstractNumId w:val="9"/>
  </w:num>
  <w:num w:numId="19">
    <w:abstractNumId w:val="9"/>
  </w:num>
  <w:num w:numId="20">
    <w:abstractNumId w:val="9"/>
  </w:num>
  <w:num w:numId="21">
    <w:abstractNumId w:val="9"/>
  </w:num>
  <w:num w:numId="22">
    <w:abstractNumId w:val="9"/>
  </w:num>
  <w:num w:numId="23">
    <w:abstractNumId w:val="9"/>
  </w:num>
  <w:num w:numId="24">
    <w:abstractNumId w:val="9"/>
  </w:num>
  <w:num w:numId="25">
    <w:abstractNumId w:val="9"/>
  </w:num>
  <w:num w:numId="26">
    <w:abstractNumId w:val="9"/>
  </w:num>
  <w:num w:numId="27">
    <w:abstractNumId w:val="6"/>
  </w:num>
  <w:num w:numId="28">
    <w:abstractNumId w:val="6"/>
  </w:num>
  <w:num w:numId="29">
    <w:abstractNumId w:val="6"/>
  </w:num>
  <w:num w:numId="30">
    <w:abstractNumId w:val="6"/>
  </w:num>
  <w:num w:numId="31">
    <w:abstractNumId w:val="6"/>
  </w:num>
  <w:num w:numId="32">
    <w:abstractNumId w:val="9"/>
  </w:num>
  <w:num w:numId="33">
    <w:abstractNumId w:val="4"/>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isplayBackgroundShape/>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CD9"/>
    <w:rsid w:val="000406CD"/>
    <w:rsid w:val="000718AC"/>
    <w:rsid w:val="000D046A"/>
    <w:rsid w:val="000D523B"/>
    <w:rsid w:val="000D7F02"/>
    <w:rsid w:val="000F24EC"/>
    <w:rsid w:val="000F4CED"/>
    <w:rsid w:val="00102207"/>
    <w:rsid w:val="00112447"/>
    <w:rsid w:val="00114D80"/>
    <w:rsid w:val="00137404"/>
    <w:rsid w:val="001E1FA7"/>
    <w:rsid w:val="00227D72"/>
    <w:rsid w:val="002F75B2"/>
    <w:rsid w:val="0031347F"/>
    <w:rsid w:val="00331FEE"/>
    <w:rsid w:val="00332827"/>
    <w:rsid w:val="0033350F"/>
    <w:rsid w:val="00386F4D"/>
    <w:rsid w:val="003E3705"/>
    <w:rsid w:val="00425541"/>
    <w:rsid w:val="0047464B"/>
    <w:rsid w:val="00483F63"/>
    <w:rsid w:val="00495788"/>
    <w:rsid w:val="004A41B5"/>
    <w:rsid w:val="004B6F57"/>
    <w:rsid w:val="004E47E0"/>
    <w:rsid w:val="0054380F"/>
    <w:rsid w:val="00563DB7"/>
    <w:rsid w:val="00584D18"/>
    <w:rsid w:val="00587DBE"/>
    <w:rsid w:val="005C0352"/>
    <w:rsid w:val="005F24E3"/>
    <w:rsid w:val="006227DA"/>
    <w:rsid w:val="00665C7D"/>
    <w:rsid w:val="006A5423"/>
    <w:rsid w:val="006E5C06"/>
    <w:rsid w:val="006E6296"/>
    <w:rsid w:val="00703360"/>
    <w:rsid w:val="007267E3"/>
    <w:rsid w:val="00746448"/>
    <w:rsid w:val="007524D6"/>
    <w:rsid w:val="00775D53"/>
    <w:rsid w:val="00797623"/>
    <w:rsid w:val="007A40EB"/>
    <w:rsid w:val="007B0CAA"/>
    <w:rsid w:val="00811948"/>
    <w:rsid w:val="00870857"/>
    <w:rsid w:val="00886677"/>
    <w:rsid w:val="008A6027"/>
    <w:rsid w:val="008C3807"/>
    <w:rsid w:val="008C59CA"/>
    <w:rsid w:val="008D4E52"/>
    <w:rsid w:val="008F288B"/>
    <w:rsid w:val="009042F3"/>
    <w:rsid w:val="00923720"/>
    <w:rsid w:val="00935B8D"/>
    <w:rsid w:val="00944508"/>
    <w:rsid w:val="00964ADD"/>
    <w:rsid w:val="00965CD9"/>
    <w:rsid w:val="009A1DA8"/>
    <w:rsid w:val="009A4DEE"/>
    <w:rsid w:val="009C0788"/>
    <w:rsid w:val="00A131A9"/>
    <w:rsid w:val="00A353C1"/>
    <w:rsid w:val="00A71276"/>
    <w:rsid w:val="00A722D2"/>
    <w:rsid w:val="00A90461"/>
    <w:rsid w:val="00AA5F6F"/>
    <w:rsid w:val="00AC292F"/>
    <w:rsid w:val="00AE1D8A"/>
    <w:rsid w:val="00AF587E"/>
    <w:rsid w:val="00B00DB0"/>
    <w:rsid w:val="00B049F9"/>
    <w:rsid w:val="00B0608A"/>
    <w:rsid w:val="00B31DFE"/>
    <w:rsid w:val="00B36BAD"/>
    <w:rsid w:val="00B43297"/>
    <w:rsid w:val="00B54145"/>
    <w:rsid w:val="00B55E11"/>
    <w:rsid w:val="00B730FE"/>
    <w:rsid w:val="00BD1648"/>
    <w:rsid w:val="00C050BA"/>
    <w:rsid w:val="00C5040D"/>
    <w:rsid w:val="00CF2C8E"/>
    <w:rsid w:val="00CF7230"/>
    <w:rsid w:val="00D44150"/>
    <w:rsid w:val="00D5508C"/>
    <w:rsid w:val="00D601C3"/>
    <w:rsid w:val="00D91EAB"/>
    <w:rsid w:val="00DA5EFF"/>
    <w:rsid w:val="00DB58D5"/>
    <w:rsid w:val="00DC7647"/>
    <w:rsid w:val="00E20478"/>
    <w:rsid w:val="00E3171A"/>
    <w:rsid w:val="00E32DB8"/>
    <w:rsid w:val="00E37B1D"/>
    <w:rsid w:val="00E87298"/>
    <w:rsid w:val="00E94DCD"/>
    <w:rsid w:val="00EB3EB2"/>
    <w:rsid w:val="00EF5079"/>
    <w:rsid w:val="00F07475"/>
    <w:rsid w:val="00F108E3"/>
    <w:rsid w:val="00F22AED"/>
    <w:rsid w:val="00F40AFE"/>
    <w:rsid w:val="00F43E43"/>
    <w:rsid w:val="00F5617D"/>
    <w:rsid w:val="00F80C44"/>
    <w:rsid w:val="00FB08E7"/>
    <w:rsid w:val="00FB1822"/>
    <w:rsid w:val="00FE7FCB"/>
  </w:rsids>
  <m:mathPr>
    <m:mathFont m:val="Cambria Math"/>
    <m:brkBin m:val="before"/>
    <m:brkBinSub m:val="--"/>
    <m:smallFrac/>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8D4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Narrow" w:eastAsia="Times New Roman" w:hAnsi="Arial Narrow" w:cs="Times New Roman"/>
        <w:lang w:val="de-CH" w:eastAsia="de-CH" w:bidi="ar-SA"/>
      </w:rPr>
    </w:rPrDefault>
    <w:pPrDefault/>
  </w:docDefaults>
  <w:latentStyles w:defLockedState="0" w:defUIPriority="99" w:defSemiHidden="0" w:defUnhideWhenUsed="0" w:defQFormat="0" w:count="382">
    <w:lsdException w:name="Normal" w:uiPriority="0" w:qFormat="1"/>
    <w:lsdException w:name="heading 1" w:uiPriority="19" w:qFormat="1"/>
    <w:lsdException w:name="heading 2" w:uiPriority="19" w:qFormat="1"/>
    <w:lsdException w:name="heading 3" w:uiPriority="19" w:qFormat="1"/>
    <w:lsdException w:name="heading 4" w:semiHidden="1" w:uiPriority="19" w:unhideWhenUsed="1" w:qFormat="1"/>
    <w:lsdException w:name="heading 5" w:semiHidden="1" w:uiPriority="19" w:unhideWhenUsed="1" w:qFormat="1"/>
    <w:lsdException w:name="heading 6" w:semiHidden="1" w:uiPriority="19" w:unhideWhenUsed="1" w:qFormat="1"/>
    <w:lsdException w:name="heading 7" w:semiHidden="1" w:uiPriority="19" w:unhideWhenUsed="1" w:qFormat="1"/>
    <w:lsdException w:name="heading 8" w:semiHidden="1" w:uiPriority="19" w:unhideWhenUsed="1" w:qFormat="1"/>
    <w:lsdException w:name="heading 9" w:semiHidden="1" w:uiPriority="1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0"/>
    <w:lsdException w:name="toc 2" w:uiPriority="30"/>
    <w:lsdException w:name="toc 3" w:semiHidden="1" w:uiPriority="30" w:unhideWhenUsed="1"/>
    <w:lsdException w:name="toc 4" w:semiHidden="1" w:uiPriority="31" w:unhideWhenUsed="1"/>
    <w:lsdException w:name="toc 5" w:semiHidden="1" w:uiPriority="31" w:unhideWhenUsed="1"/>
    <w:lsdException w:name="toc 6" w:semiHidden="1" w:uiPriority="31" w:unhideWhenUsed="1"/>
    <w:lsdException w:name="toc 7" w:semiHidden="1" w:uiPriority="31" w:unhideWhenUsed="1"/>
    <w:lsdException w:name="toc 8" w:semiHidden="1" w:uiPriority="31" w:unhideWhenUsed="1"/>
    <w:lsdException w:name="toc 9" w:semiHidden="1" w:uiPriority="31" w:unhideWhenUsed="1"/>
    <w:lsdException w:name="Normal Indent" w:semiHidden="1" w:uiPriority="0" w:unhideWhenUsed="1"/>
    <w:lsdException w:name="footnote text" w:semiHidden="1" w:uiPriority="39" w:unhideWhenUsed="1"/>
    <w:lsdException w:name="annotation text" w:semiHidden="1" w:unhideWhenUsed="1"/>
    <w:lsdException w:name="header" w:semiHidden="1" w:uiPriority="39" w:unhideWhenUsed="1"/>
    <w:lsdException w:name="footer" w:semiHidden="1" w:uiPriority="10" w:unhideWhenUsed="1" w:qFormat="1"/>
    <w:lsdException w:name="index heading" w:semiHidden="1" w:uiPriority="0" w:unhideWhenUsed="1"/>
    <w:lsdException w:name="caption" w:semiHidden="1" w:uiPriority="34" w:unhideWhenUsed="1" w:qFormat="1"/>
    <w:lsdException w:name="table of figures" w:semiHidden="1" w:uiPriority="32" w:unhideWhenUsed="1"/>
    <w:lsdException w:name="envelope address" w:semiHidden="1" w:unhideWhenUsed="1"/>
    <w:lsdException w:name="envelope return" w:semiHidden="1" w:unhideWhenUsed="1"/>
    <w:lsdException w:name="footnote reference" w:semiHidden="1" w:uiPriority="39" w:unhideWhenUsed="1"/>
    <w:lsdException w:name="annotation reference" w:semiHidden="1" w:unhideWhenUsed="1"/>
    <w:lsdException w:name="line number" w:semiHidden="1" w:unhideWhenUsed="1"/>
    <w:lsdException w:name="page number" w:semiHidden="1" w:uiPriority="15" w:unhideWhenUsed="1"/>
    <w:lsdException w:name="endnote reference" w:semiHidden="1" w:uiPriority="39" w:unhideWhenUsed="1"/>
    <w:lsdException w:name="endnote text" w:semiHidden="1" w:uiPriority="3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4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uiPriority="35"/>
    <w:lsdException w:name="FollowedHyperlink" w:semiHidden="1" w:uiPriority="36" w:unhideWhenUsed="1"/>
    <w:lsdException w:name="Strong" w:uiPriority="49" w:qFormat="1"/>
    <w:lsdException w:name="Emphasis" w:uiPriority="12"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iPriority="0" w:unhideWhenUsed="1"/>
    <w:lsdException w:name="HTML Cite" w:semiHidden="1" w:uiPriority="0" w:unhideWhenUsed="1"/>
    <w:lsdException w:name="HTML Code" w:semiHidden="1" w:uiPriority="0" w:unhideWhenUsed="1"/>
    <w:lsdException w:name="HTML Definition" w:semiHidden="1" w:uiPriority="0" w:unhideWhenUsed="1"/>
    <w:lsdException w:name="HTML Keyboard" w:semiHidden="1" w:uiPriority="0" w:unhideWhenUsed="1"/>
    <w:lsdException w:name="HTML Preformatted" w:semiHidden="1" w:uiPriority="0" w:unhideWhenUsed="1"/>
    <w:lsdException w:name="HTML Sample" w:semiHidden="1" w:uiPriority="0" w:unhideWhenUsed="1"/>
    <w:lsdException w:name="HTML Typewriter" w:semiHidden="1" w:uiPriority="0" w:unhideWhenUsed="1"/>
    <w:lsdException w:name="HTML Variable" w:semiHidden="1" w:uiPriority="0"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13" w:qFormat="1"/>
    <w:lsdException w:name="Subtle Reference" w:uiPriority="31" w:qFormat="1"/>
    <w:lsdException w:name="Intense Reference" w:uiPriority="32" w:qFormat="1"/>
    <w:lsdException w:name="Book Title" w:uiPriority="33" w:qFormat="1"/>
    <w:lsdException w:name="Bibliography" w:semiHidden="1" w:uiPriority="33" w:unhideWhenUsed="1"/>
    <w:lsdException w:name="TOC Heading" w:semiHidden="1" w:uiPriority="2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F75B2"/>
    <w:pPr>
      <w:spacing w:line="260" w:lineRule="atLeast"/>
    </w:pPr>
    <w:rPr>
      <w:sz w:val="22"/>
      <w:szCs w:val="22"/>
      <w:lang w:eastAsia="en-US"/>
    </w:rPr>
  </w:style>
  <w:style w:type="paragraph" w:styleId="Heading1">
    <w:name w:val="heading 1"/>
    <w:basedOn w:val="Normal"/>
    <w:next w:val="Normal"/>
    <w:link w:val="Heading1Char"/>
    <w:uiPriority w:val="19"/>
    <w:qFormat/>
    <w:rsid w:val="00DB58D5"/>
    <w:pPr>
      <w:keepNext/>
      <w:numPr>
        <w:numId w:val="41"/>
      </w:numPr>
      <w:tabs>
        <w:tab w:val="left" w:pos="454"/>
      </w:tabs>
      <w:spacing w:after="280" w:line="320" w:lineRule="exact"/>
      <w:contextualSpacing/>
      <w:outlineLvl w:val="0"/>
    </w:pPr>
    <w:rPr>
      <w:rFonts w:cs="Arial"/>
      <w:b/>
      <w:bCs/>
      <w:sz w:val="28"/>
      <w:szCs w:val="28"/>
      <w:lang w:eastAsia="de-DE"/>
    </w:rPr>
  </w:style>
  <w:style w:type="paragraph" w:styleId="Heading2">
    <w:name w:val="heading 2"/>
    <w:basedOn w:val="Normal"/>
    <w:next w:val="Normal"/>
    <w:link w:val="Heading2Char"/>
    <w:uiPriority w:val="19"/>
    <w:qFormat/>
    <w:rsid w:val="00DB58D5"/>
    <w:pPr>
      <w:keepNext/>
      <w:numPr>
        <w:ilvl w:val="1"/>
        <w:numId w:val="41"/>
      </w:numPr>
      <w:tabs>
        <w:tab w:val="left" w:pos="454"/>
      </w:tabs>
      <w:spacing w:after="240"/>
      <w:contextualSpacing/>
      <w:outlineLvl w:val="1"/>
    </w:pPr>
    <w:rPr>
      <w:rFonts w:cs="Arial"/>
      <w:b/>
      <w:bCs/>
      <w:sz w:val="24"/>
      <w:szCs w:val="24"/>
      <w:lang w:eastAsia="de-DE"/>
    </w:rPr>
  </w:style>
  <w:style w:type="paragraph" w:styleId="Heading3">
    <w:name w:val="heading 3"/>
    <w:basedOn w:val="Normal"/>
    <w:next w:val="Normal"/>
    <w:link w:val="Heading3Char"/>
    <w:uiPriority w:val="19"/>
    <w:qFormat/>
    <w:rsid w:val="00DB58D5"/>
    <w:pPr>
      <w:keepNext/>
      <w:numPr>
        <w:ilvl w:val="2"/>
        <w:numId w:val="41"/>
      </w:numPr>
      <w:tabs>
        <w:tab w:val="left" w:pos="680"/>
      </w:tabs>
      <w:spacing w:after="240"/>
      <w:contextualSpacing/>
      <w:outlineLvl w:val="2"/>
    </w:pPr>
    <w:rPr>
      <w:rFonts w:cs="Arial"/>
      <w:b/>
      <w:szCs w:val="18"/>
      <w:lang w:eastAsia="de-DE"/>
    </w:rPr>
  </w:style>
  <w:style w:type="paragraph" w:styleId="Heading4">
    <w:name w:val="heading 4"/>
    <w:basedOn w:val="Normal"/>
    <w:next w:val="Normal"/>
    <w:link w:val="Heading4Char"/>
    <w:uiPriority w:val="19"/>
    <w:unhideWhenUsed/>
    <w:qFormat/>
    <w:rsid w:val="00DB58D5"/>
    <w:pPr>
      <w:keepNext/>
      <w:numPr>
        <w:ilvl w:val="3"/>
        <w:numId w:val="41"/>
      </w:numPr>
      <w:tabs>
        <w:tab w:val="left" w:pos="851"/>
      </w:tabs>
      <w:spacing w:after="120" w:line="240" w:lineRule="atLeast"/>
      <w:contextualSpacing/>
      <w:outlineLvl w:val="3"/>
    </w:pPr>
    <w:rPr>
      <w:rFonts w:cs="Arial"/>
      <w:szCs w:val="18"/>
      <w:lang w:eastAsia="de-DE"/>
    </w:rPr>
  </w:style>
  <w:style w:type="paragraph" w:styleId="Heading5">
    <w:name w:val="heading 5"/>
    <w:basedOn w:val="Normal"/>
    <w:next w:val="Normal"/>
    <w:link w:val="Heading5Char"/>
    <w:uiPriority w:val="19"/>
    <w:unhideWhenUsed/>
    <w:qFormat/>
    <w:rsid w:val="00DB58D5"/>
    <w:pPr>
      <w:numPr>
        <w:ilvl w:val="4"/>
        <w:numId w:val="41"/>
      </w:numPr>
      <w:tabs>
        <w:tab w:val="center" w:pos="1361"/>
      </w:tabs>
      <w:spacing w:after="120"/>
      <w:contextualSpacing/>
      <w:outlineLvl w:val="4"/>
    </w:pPr>
    <w:rPr>
      <w:rFonts w:cs="Arial"/>
      <w:szCs w:val="18"/>
      <w:lang w:eastAsia="de-DE"/>
    </w:rPr>
  </w:style>
  <w:style w:type="paragraph" w:styleId="Heading6">
    <w:name w:val="heading 6"/>
    <w:basedOn w:val="Normal"/>
    <w:next w:val="Normal"/>
    <w:link w:val="Heading6Char"/>
    <w:uiPriority w:val="19"/>
    <w:semiHidden/>
    <w:qFormat/>
    <w:rsid w:val="00DB58D5"/>
    <w:pPr>
      <w:numPr>
        <w:ilvl w:val="5"/>
        <w:numId w:val="41"/>
      </w:numPr>
      <w:spacing w:after="120" w:line="240" w:lineRule="atLeast"/>
      <w:contextualSpacing/>
      <w:outlineLvl w:val="5"/>
    </w:pPr>
    <w:rPr>
      <w:bCs/>
      <w:sz w:val="18"/>
      <w:lang w:eastAsia="de-DE"/>
    </w:rPr>
  </w:style>
  <w:style w:type="paragraph" w:styleId="Heading7">
    <w:name w:val="heading 7"/>
    <w:basedOn w:val="Normal"/>
    <w:next w:val="Normal"/>
    <w:link w:val="Heading7Char"/>
    <w:uiPriority w:val="19"/>
    <w:semiHidden/>
    <w:qFormat/>
    <w:rsid w:val="00DB58D5"/>
    <w:pPr>
      <w:numPr>
        <w:ilvl w:val="6"/>
        <w:numId w:val="41"/>
      </w:numPr>
      <w:spacing w:after="120" w:line="240" w:lineRule="atLeast"/>
      <w:contextualSpacing/>
      <w:outlineLvl w:val="6"/>
    </w:pPr>
    <w:rPr>
      <w:sz w:val="18"/>
      <w:szCs w:val="24"/>
      <w:lang w:eastAsia="de-DE"/>
    </w:rPr>
  </w:style>
  <w:style w:type="paragraph" w:styleId="Heading8">
    <w:name w:val="heading 8"/>
    <w:basedOn w:val="Normal"/>
    <w:next w:val="Normal"/>
    <w:link w:val="Heading8Char"/>
    <w:uiPriority w:val="19"/>
    <w:semiHidden/>
    <w:qFormat/>
    <w:rsid w:val="00DB58D5"/>
    <w:pPr>
      <w:numPr>
        <w:ilvl w:val="7"/>
        <w:numId w:val="41"/>
      </w:numPr>
      <w:spacing w:after="120" w:line="240" w:lineRule="atLeast"/>
      <w:contextualSpacing/>
      <w:outlineLvl w:val="7"/>
    </w:pPr>
    <w:rPr>
      <w:iCs/>
      <w:sz w:val="18"/>
      <w:szCs w:val="24"/>
      <w:lang w:eastAsia="de-DE"/>
    </w:rPr>
  </w:style>
  <w:style w:type="paragraph" w:styleId="Heading9">
    <w:name w:val="heading 9"/>
    <w:basedOn w:val="Normal"/>
    <w:next w:val="Normal"/>
    <w:link w:val="Heading9Char"/>
    <w:uiPriority w:val="19"/>
    <w:semiHidden/>
    <w:qFormat/>
    <w:rsid w:val="00DB58D5"/>
    <w:pPr>
      <w:numPr>
        <w:ilvl w:val="8"/>
        <w:numId w:val="41"/>
      </w:numPr>
      <w:tabs>
        <w:tab w:val="left" w:pos="1701"/>
      </w:tabs>
      <w:spacing w:after="120" w:line="240" w:lineRule="atLeast"/>
      <w:contextualSpacing/>
      <w:outlineLvl w:val="8"/>
    </w:pPr>
    <w:rPr>
      <w:sz w:val="18"/>
      <w:lang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14"/>
    <w:unhideWhenUsed/>
    <w:rsid w:val="00DB58D5"/>
    <w:rPr>
      <w:sz w:val="20"/>
    </w:rPr>
  </w:style>
  <w:style w:type="character" w:customStyle="1" w:styleId="HeaderChar">
    <w:name w:val="Header Char"/>
    <w:link w:val="Header"/>
    <w:uiPriority w:val="14"/>
    <w:rsid w:val="001E1FA7"/>
    <w:rPr>
      <w:rFonts w:ascii="Arial Narrow" w:hAnsi="Arial Narrow" w:cs="Times New Roman"/>
      <w:sz w:val="20"/>
    </w:rPr>
  </w:style>
  <w:style w:type="paragraph" w:styleId="Footer">
    <w:name w:val="footer"/>
    <w:basedOn w:val="Normal"/>
    <w:link w:val="FooterChar"/>
    <w:uiPriority w:val="10"/>
    <w:qFormat/>
    <w:rsid w:val="00DB58D5"/>
    <w:rPr>
      <w:sz w:val="20"/>
    </w:rPr>
  </w:style>
  <w:style w:type="character" w:customStyle="1" w:styleId="FooterChar">
    <w:name w:val="Footer Char"/>
    <w:link w:val="Footer"/>
    <w:uiPriority w:val="10"/>
    <w:rsid w:val="00D44150"/>
    <w:rPr>
      <w:rFonts w:ascii="Arial Narrow" w:hAnsi="Arial Narrow" w:cs="Times New Roman"/>
      <w:sz w:val="20"/>
    </w:rPr>
  </w:style>
  <w:style w:type="numbering" w:styleId="111111">
    <w:name w:val="Outline List 2"/>
    <w:basedOn w:val="NoList"/>
    <w:semiHidden/>
    <w:rsid w:val="00E94DCD"/>
    <w:pPr>
      <w:numPr>
        <w:numId w:val="1"/>
      </w:numPr>
    </w:pPr>
  </w:style>
  <w:style w:type="numbering" w:styleId="1ai">
    <w:name w:val="Outline List 1"/>
    <w:basedOn w:val="NoList"/>
    <w:semiHidden/>
    <w:rsid w:val="00E94DCD"/>
    <w:pPr>
      <w:numPr>
        <w:numId w:val="3"/>
      </w:numPr>
    </w:pPr>
  </w:style>
  <w:style w:type="paragraph" w:styleId="ListBullet2">
    <w:name w:val="List Bullet 2"/>
    <w:basedOn w:val="Normal"/>
    <w:uiPriority w:val="99"/>
    <w:semiHidden/>
    <w:rsid w:val="00E94DCD"/>
    <w:pPr>
      <w:numPr>
        <w:numId w:val="6"/>
      </w:numPr>
    </w:pPr>
  </w:style>
  <w:style w:type="paragraph" w:styleId="ListBullet3">
    <w:name w:val="List Bullet 3"/>
    <w:basedOn w:val="Normal"/>
    <w:uiPriority w:val="99"/>
    <w:semiHidden/>
    <w:rsid w:val="00E94DCD"/>
    <w:pPr>
      <w:numPr>
        <w:numId w:val="8"/>
      </w:numPr>
    </w:pPr>
  </w:style>
  <w:style w:type="paragraph" w:styleId="ListBullet4">
    <w:name w:val="List Bullet 4"/>
    <w:basedOn w:val="Normal"/>
    <w:uiPriority w:val="99"/>
    <w:semiHidden/>
    <w:rsid w:val="00E94DCD"/>
    <w:pPr>
      <w:numPr>
        <w:numId w:val="10"/>
      </w:numPr>
    </w:pPr>
  </w:style>
  <w:style w:type="paragraph" w:styleId="ListBullet5">
    <w:name w:val="List Bullet 5"/>
    <w:basedOn w:val="Normal"/>
    <w:uiPriority w:val="99"/>
    <w:semiHidden/>
    <w:rsid w:val="00E94DCD"/>
    <w:pPr>
      <w:numPr>
        <w:numId w:val="12"/>
      </w:numPr>
    </w:pPr>
  </w:style>
  <w:style w:type="table" w:customStyle="1" w:styleId="BasisTabelle">
    <w:name w:val="Basis Tabelle"/>
    <w:basedOn w:val="TableNormal"/>
    <w:rsid w:val="00E94DCD"/>
    <w:rPr>
      <w:rFonts w:ascii="Arial" w:hAnsi="Arial"/>
    </w:rPr>
    <w:tblPr>
      <w:tblStyleRowBandSize w:val="1"/>
      <w:tblInd w:w="0" w:type="dxa"/>
      <w:tblBorders>
        <w:bottom w:val="single" w:sz="2" w:space="0" w:color="808080"/>
      </w:tblBorders>
      <w:tblCellMar>
        <w:top w:w="57" w:type="dxa"/>
        <w:left w:w="57" w:type="dxa"/>
        <w:bottom w:w="57" w:type="dxa"/>
        <w:right w:w="57" w:type="dxa"/>
      </w:tblCellMar>
    </w:tblPr>
    <w:tblStylePr w:type="firstRow">
      <w:rPr>
        <w:b/>
      </w:rPr>
      <w:tblPr/>
      <w:tcPr>
        <w:tcBorders>
          <w:bottom w:val="single" w:sz="4" w:space="0" w:color="808080"/>
        </w:tcBorders>
      </w:tcPr>
    </w:tblStylePr>
    <w:tblStylePr w:type="band1Horz">
      <w:tblPr/>
      <w:tcPr>
        <w:tcBorders>
          <w:bottom w:val="single" w:sz="4" w:space="0" w:color="808080"/>
        </w:tcBorders>
      </w:tcPr>
    </w:tblStylePr>
    <w:tblStylePr w:type="band2Horz">
      <w:tblPr/>
      <w:tcPr>
        <w:tcBorders>
          <w:bottom w:val="single" w:sz="4" w:space="0" w:color="808080"/>
        </w:tcBorders>
        <w:shd w:val="clear" w:color="auto" w:fill="F2F2F2"/>
      </w:tcPr>
    </w:tblStylePr>
  </w:style>
  <w:style w:type="paragraph" w:styleId="Caption">
    <w:name w:val="caption"/>
    <w:basedOn w:val="Normal"/>
    <w:next w:val="Normal"/>
    <w:uiPriority w:val="39"/>
    <w:unhideWhenUsed/>
    <w:rsid w:val="00DB58D5"/>
    <w:pPr>
      <w:framePr w:h="454" w:hRule="exact" w:wrap="around" w:vAnchor="text" w:hAnchor="text" w:y="1"/>
      <w:suppressLineNumbers/>
      <w:spacing w:before="60" w:after="120" w:line="200" w:lineRule="atLeast"/>
      <w:ind w:right="113"/>
    </w:pPr>
    <w:rPr>
      <w:bCs/>
    </w:rPr>
  </w:style>
  <w:style w:type="character" w:styleId="FollowedHyperlink">
    <w:name w:val="FollowedHyperlink"/>
    <w:uiPriority w:val="41"/>
    <w:semiHidden/>
    <w:unhideWhenUsed/>
    <w:rsid w:val="00DB58D5"/>
    <w:rPr>
      <w:color w:val="auto"/>
      <w:u w:val="single"/>
    </w:rPr>
  </w:style>
  <w:style w:type="paragraph" w:styleId="BlockText">
    <w:name w:val="Block Text"/>
    <w:basedOn w:val="Normal"/>
    <w:uiPriority w:val="99"/>
    <w:semiHidden/>
    <w:rsid w:val="00E94DCD"/>
    <w:pPr>
      <w:ind w:left="1440" w:right="1440"/>
    </w:pPr>
  </w:style>
  <w:style w:type="paragraph" w:customStyle="1" w:styleId="BulletpointsEbene1">
    <w:name w:val="Bulletpoints Ebene 1"/>
    <w:basedOn w:val="Normal"/>
    <w:uiPriority w:val="99"/>
    <w:semiHidden/>
    <w:rsid w:val="00E94DCD"/>
    <w:pPr>
      <w:numPr>
        <w:numId w:val="15"/>
      </w:numPr>
      <w:tabs>
        <w:tab w:val="left" w:pos="454"/>
      </w:tabs>
      <w:spacing w:line="280" w:lineRule="atLeast"/>
    </w:pPr>
    <w:rPr>
      <w:rFonts w:eastAsia="Calibri" w:cs="Arial"/>
      <w:szCs w:val="20"/>
    </w:rPr>
  </w:style>
  <w:style w:type="paragraph" w:customStyle="1" w:styleId="BulletpointsEbene2">
    <w:name w:val="Bulletpoints Ebene 2"/>
    <w:basedOn w:val="Normal"/>
    <w:uiPriority w:val="99"/>
    <w:semiHidden/>
    <w:rsid w:val="00E94DCD"/>
    <w:pPr>
      <w:numPr>
        <w:ilvl w:val="1"/>
        <w:numId w:val="15"/>
      </w:numPr>
    </w:pPr>
    <w:rPr>
      <w:rFonts w:eastAsia="Calibri" w:cs="Arial"/>
      <w:szCs w:val="20"/>
    </w:rPr>
  </w:style>
  <w:style w:type="paragraph" w:styleId="DocumentMap">
    <w:name w:val="Document Map"/>
    <w:basedOn w:val="Normal"/>
    <w:link w:val="DocumentMapChar"/>
    <w:uiPriority w:val="99"/>
    <w:semiHidden/>
    <w:unhideWhenUsed/>
    <w:rsid w:val="00E94DCD"/>
    <w:pPr>
      <w:shd w:val="clear" w:color="auto" w:fill="000080"/>
    </w:pPr>
    <w:rPr>
      <w:rFonts w:ascii="Tahoma" w:hAnsi="Tahoma"/>
      <w:sz w:val="20"/>
      <w:szCs w:val="20"/>
    </w:rPr>
  </w:style>
  <w:style w:type="character" w:customStyle="1" w:styleId="DocumentMapChar">
    <w:name w:val="Document Map Char"/>
    <w:link w:val="DocumentMap"/>
    <w:uiPriority w:val="99"/>
    <w:semiHidden/>
    <w:rsid w:val="00D44150"/>
    <w:rPr>
      <w:rFonts w:ascii="Tahoma" w:hAnsi="Tahoma" w:cs="Times New Roman"/>
      <w:sz w:val="20"/>
      <w:szCs w:val="20"/>
      <w:shd w:val="clear" w:color="auto" w:fill="000080"/>
    </w:rPr>
  </w:style>
  <w:style w:type="paragraph" w:styleId="Closing">
    <w:name w:val="Closing"/>
    <w:basedOn w:val="Normal"/>
    <w:link w:val="ClosingChar"/>
    <w:uiPriority w:val="99"/>
    <w:semiHidden/>
    <w:rsid w:val="00E94DCD"/>
  </w:style>
  <w:style w:type="character" w:customStyle="1" w:styleId="ClosingChar">
    <w:name w:val="Closing Char"/>
    <w:link w:val="Closing"/>
    <w:uiPriority w:val="99"/>
    <w:semiHidden/>
    <w:rsid w:val="00D44150"/>
    <w:rPr>
      <w:rFonts w:ascii="Arial Narrow" w:hAnsi="Arial Narrow" w:cs="Times New Roman"/>
    </w:rPr>
  </w:style>
  <w:style w:type="character" w:styleId="Emphasis">
    <w:name w:val="Emphasis"/>
    <w:uiPriority w:val="11"/>
    <w:qFormat/>
    <w:rsid w:val="00DB58D5"/>
    <w:rPr>
      <w:b/>
      <w:iCs/>
      <w:color w:val="66CC33"/>
    </w:rPr>
  </w:style>
  <w:style w:type="paragraph" w:styleId="HTMLAddress">
    <w:name w:val="HTML Address"/>
    <w:basedOn w:val="Normal"/>
    <w:link w:val="HTMLAddressChar"/>
    <w:uiPriority w:val="99"/>
    <w:semiHidden/>
    <w:rsid w:val="00E94DCD"/>
    <w:rPr>
      <w:i/>
      <w:iCs/>
    </w:rPr>
  </w:style>
  <w:style w:type="character" w:customStyle="1" w:styleId="HTMLAddressChar">
    <w:name w:val="HTML Address Char"/>
    <w:link w:val="HTMLAddress"/>
    <w:uiPriority w:val="99"/>
    <w:semiHidden/>
    <w:rsid w:val="00D44150"/>
    <w:rPr>
      <w:rFonts w:ascii="Arial Narrow" w:hAnsi="Arial Narrow" w:cs="Times New Roman"/>
      <w:i/>
      <w:iCs/>
    </w:rPr>
  </w:style>
  <w:style w:type="character" w:styleId="HTMLAcronym">
    <w:name w:val="HTML Acronym"/>
    <w:basedOn w:val="DefaultParagraphFont"/>
    <w:uiPriority w:val="99"/>
    <w:semiHidden/>
    <w:rsid w:val="00E94DCD"/>
  </w:style>
  <w:style w:type="character" w:styleId="HTMLSample">
    <w:name w:val="HTML Sample"/>
    <w:uiPriority w:val="99"/>
    <w:semiHidden/>
    <w:rsid w:val="00E94DCD"/>
    <w:rPr>
      <w:rFonts w:ascii="Courier New" w:hAnsi="Courier New"/>
    </w:rPr>
  </w:style>
  <w:style w:type="character" w:styleId="HTMLCode">
    <w:name w:val="HTML Code"/>
    <w:uiPriority w:val="99"/>
    <w:semiHidden/>
    <w:rsid w:val="00E94DCD"/>
    <w:rPr>
      <w:rFonts w:ascii="Courier New" w:hAnsi="Courier New"/>
      <w:sz w:val="20"/>
      <w:szCs w:val="20"/>
    </w:rPr>
  </w:style>
  <w:style w:type="character" w:styleId="HTMLDefinition">
    <w:name w:val="HTML Definition"/>
    <w:uiPriority w:val="99"/>
    <w:semiHidden/>
    <w:rsid w:val="00E94DCD"/>
    <w:rPr>
      <w:i/>
      <w:iCs/>
    </w:rPr>
  </w:style>
  <w:style w:type="character" w:styleId="HTMLTypewriter">
    <w:name w:val="HTML Typewriter"/>
    <w:uiPriority w:val="99"/>
    <w:semiHidden/>
    <w:rsid w:val="00E94DCD"/>
    <w:rPr>
      <w:rFonts w:ascii="Courier New" w:hAnsi="Courier New"/>
      <w:sz w:val="20"/>
      <w:szCs w:val="20"/>
    </w:rPr>
  </w:style>
  <w:style w:type="character" w:styleId="HTMLKeyboard">
    <w:name w:val="HTML Keyboard"/>
    <w:uiPriority w:val="99"/>
    <w:semiHidden/>
    <w:rsid w:val="00E94DCD"/>
    <w:rPr>
      <w:rFonts w:ascii="Courier New" w:hAnsi="Courier New"/>
      <w:sz w:val="20"/>
      <w:szCs w:val="20"/>
    </w:rPr>
  </w:style>
  <w:style w:type="character" w:styleId="HTMLVariable">
    <w:name w:val="HTML Variable"/>
    <w:uiPriority w:val="99"/>
    <w:semiHidden/>
    <w:rsid w:val="00E94DCD"/>
    <w:rPr>
      <w:i/>
      <w:iCs/>
    </w:rPr>
  </w:style>
  <w:style w:type="paragraph" w:styleId="HTMLPreformatted">
    <w:name w:val="HTML Preformatted"/>
    <w:basedOn w:val="Normal"/>
    <w:link w:val="HTMLPreformattedChar"/>
    <w:uiPriority w:val="99"/>
    <w:semiHidden/>
    <w:rsid w:val="00E94DCD"/>
    <w:rPr>
      <w:rFonts w:ascii="Courier New" w:hAnsi="Courier New"/>
      <w:sz w:val="20"/>
      <w:szCs w:val="20"/>
    </w:rPr>
  </w:style>
  <w:style w:type="character" w:customStyle="1" w:styleId="HTMLPreformattedChar">
    <w:name w:val="HTML Preformatted Char"/>
    <w:link w:val="HTMLPreformatted"/>
    <w:uiPriority w:val="99"/>
    <w:semiHidden/>
    <w:rsid w:val="00D44150"/>
    <w:rPr>
      <w:rFonts w:ascii="Courier New" w:hAnsi="Courier New" w:cs="Times New Roman"/>
      <w:sz w:val="20"/>
      <w:szCs w:val="20"/>
    </w:rPr>
  </w:style>
  <w:style w:type="character" w:styleId="HTMLCite">
    <w:name w:val="HTML Cite"/>
    <w:uiPriority w:val="99"/>
    <w:semiHidden/>
    <w:rsid w:val="00E94DCD"/>
    <w:rPr>
      <w:i/>
      <w:iCs/>
    </w:rPr>
  </w:style>
  <w:style w:type="character" w:styleId="Hyperlink">
    <w:name w:val="Hyperlink"/>
    <w:uiPriority w:val="40"/>
    <w:unhideWhenUsed/>
    <w:rsid w:val="00DB58D5"/>
    <w:rPr>
      <w:color w:val="auto"/>
      <w:u w:val="single"/>
    </w:rPr>
  </w:style>
  <w:style w:type="paragraph" w:styleId="Index1">
    <w:name w:val="index 1"/>
    <w:basedOn w:val="Normal"/>
    <w:next w:val="Normal"/>
    <w:autoRedefine/>
    <w:uiPriority w:val="99"/>
    <w:semiHidden/>
    <w:rsid w:val="00E94DCD"/>
    <w:pPr>
      <w:ind w:left="180" w:hanging="180"/>
    </w:pPr>
  </w:style>
  <w:style w:type="paragraph" w:styleId="IndexHeading">
    <w:name w:val="index heading"/>
    <w:basedOn w:val="Normal"/>
    <w:next w:val="Index1"/>
    <w:uiPriority w:val="32"/>
    <w:semiHidden/>
    <w:unhideWhenUsed/>
    <w:rsid w:val="00E94DCD"/>
    <w:rPr>
      <w:b/>
      <w:bCs/>
    </w:rPr>
  </w:style>
  <w:style w:type="numbering" w:customStyle="1" w:styleId="MediasuiteListe">
    <w:name w:val="Mediasuite_Liste"/>
    <w:rsid w:val="00E94DCD"/>
    <w:pPr>
      <w:numPr>
        <w:numId w:val="15"/>
      </w:numPr>
    </w:pPr>
  </w:style>
  <w:style w:type="paragraph" w:styleId="MessageHeader">
    <w:name w:val="Message Header"/>
    <w:basedOn w:val="Normal"/>
    <w:link w:val="MessageHeaderChar"/>
    <w:uiPriority w:val="99"/>
    <w:semiHidden/>
    <w:rsid w:val="00E94DCD"/>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MessageHeaderChar">
    <w:name w:val="Message Header Char"/>
    <w:link w:val="MessageHeader"/>
    <w:uiPriority w:val="99"/>
    <w:semiHidden/>
    <w:rsid w:val="00D44150"/>
    <w:rPr>
      <w:rFonts w:ascii="Arial Narrow" w:hAnsi="Arial Narrow" w:cs="Times New Roman"/>
      <w:sz w:val="24"/>
      <w:shd w:val="pct20" w:color="auto" w:fill="auto"/>
    </w:rPr>
  </w:style>
  <w:style w:type="paragraph" w:customStyle="1" w:styleId="Nummerierung">
    <w:name w:val="Nummerierung"/>
    <w:basedOn w:val="Normal"/>
    <w:uiPriority w:val="99"/>
    <w:semiHidden/>
    <w:rsid w:val="00E94DCD"/>
    <w:pPr>
      <w:numPr>
        <w:numId w:val="17"/>
      </w:numPr>
      <w:tabs>
        <w:tab w:val="left" w:pos="454"/>
      </w:tabs>
      <w:spacing w:line="280" w:lineRule="atLeast"/>
    </w:pPr>
    <w:rPr>
      <w:rFonts w:eastAsia="Calibri" w:cs="Arial"/>
      <w:szCs w:val="20"/>
    </w:rPr>
  </w:style>
  <w:style w:type="numbering" w:customStyle="1" w:styleId="Nummerierung1">
    <w:name w:val="Nummerierung 1"/>
    <w:rsid w:val="00E94DCD"/>
    <w:pPr>
      <w:numPr>
        <w:numId w:val="17"/>
      </w:numPr>
    </w:pPr>
  </w:style>
  <w:style w:type="character" w:styleId="SubtleEmphasis">
    <w:name w:val="Subtle Emphasis"/>
    <w:uiPriority w:val="99"/>
    <w:semiHidden/>
    <w:qFormat/>
    <w:rsid w:val="00703360"/>
    <w:rPr>
      <w:b/>
      <w:iCs/>
      <w:color w:val="auto"/>
    </w:rPr>
  </w:style>
  <w:style w:type="character" w:styleId="SubtleReference">
    <w:name w:val="Subtle Reference"/>
    <w:uiPriority w:val="99"/>
    <w:semiHidden/>
    <w:qFormat/>
    <w:rsid w:val="00E94DCD"/>
    <w:rPr>
      <w:color w:val="auto"/>
      <w:u w:val="single"/>
    </w:rPr>
  </w:style>
  <w:style w:type="paragraph" w:styleId="NormalWeb">
    <w:name w:val="Normal (Web)"/>
    <w:basedOn w:val="Normal"/>
    <w:uiPriority w:val="99"/>
    <w:semiHidden/>
    <w:unhideWhenUsed/>
    <w:rsid w:val="00DB58D5"/>
    <w:pPr>
      <w:spacing w:before="100" w:beforeAutospacing="1" w:after="100" w:afterAutospacing="1" w:line="240" w:lineRule="auto"/>
    </w:pPr>
    <w:rPr>
      <w:rFonts w:ascii="Times New Roman" w:hAnsi="Times New Roman"/>
      <w:sz w:val="24"/>
      <w:szCs w:val="24"/>
      <w:lang w:eastAsia="de-CH"/>
    </w:rPr>
  </w:style>
  <w:style w:type="paragraph" w:styleId="NormalIndent">
    <w:name w:val="Normal Indent"/>
    <w:basedOn w:val="Normal"/>
    <w:uiPriority w:val="99"/>
    <w:semiHidden/>
    <w:rsid w:val="00E94DCD"/>
    <w:pPr>
      <w:ind w:left="454"/>
    </w:pPr>
  </w:style>
  <w:style w:type="table" w:styleId="Table3Deffects1">
    <w:name w:val="Table 3D effects 1"/>
    <w:basedOn w:val="TableNormal"/>
    <w:semiHidden/>
    <w:rsid w:val="00E94DCD"/>
    <w:rPr>
      <w:rFonts w:ascii="Arial" w:hAnsi="Arial"/>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94DCD"/>
    <w:rPr>
      <w:rFonts w:ascii="Arial" w:hAnsi="Arial"/>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94DCD"/>
    <w:rPr>
      <w:rFonts w:ascii="Arial" w:hAnsi="Arial"/>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E94DCD"/>
    <w:rPr>
      <w:rFonts w:ascii="Arial" w:hAnsi="Arial"/>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E94DCD"/>
    <w:rPr>
      <w:rFonts w:ascii="Arial" w:hAnsi="Arial"/>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semiHidden/>
    <w:rsid w:val="00E94DCD"/>
    <w:rPr>
      <w:rFonts w:ascii="Arial" w:hAnsi="Arial"/>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94DCD"/>
    <w:rPr>
      <w:rFonts w:ascii="Arial" w:hAnsi="Arial"/>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94DCD"/>
    <w:rPr>
      <w:rFonts w:ascii="Arial" w:hAnsi="Arial"/>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94DCD"/>
    <w:rPr>
      <w:rFonts w:ascii="Arial" w:hAnsi="Arial"/>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94DCD"/>
    <w:rPr>
      <w:rFonts w:ascii="Arial" w:hAnsi="Arial"/>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94DCD"/>
    <w:rPr>
      <w:rFonts w:ascii="Arial" w:hAnsi="Arial"/>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94DCD"/>
    <w:rPr>
      <w:rFonts w:ascii="Arial" w:hAnsi="Arial"/>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Grid">
    <w:name w:val="Table Grid"/>
    <w:basedOn w:val="TableNormal"/>
    <w:uiPriority w:val="59"/>
    <w:rsid w:val="00DB58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
    <w:semiHidden/>
    <w:unhideWhenUsed/>
    <w:qFormat/>
    <w:rsid w:val="00E94DCD"/>
    <w:pPr>
      <w:spacing w:after="240" w:line="400" w:lineRule="atLeast"/>
      <w:contextualSpacing/>
      <w:outlineLvl w:val="0"/>
    </w:pPr>
    <w:rPr>
      <w:rFonts w:ascii="Arial Fett" w:hAnsi="Arial Fett"/>
      <w:b/>
      <w:bCs/>
      <w:smallCaps/>
      <w:sz w:val="32"/>
      <w:szCs w:val="32"/>
    </w:rPr>
  </w:style>
  <w:style w:type="character" w:customStyle="1" w:styleId="TitleChar">
    <w:name w:val="Title Char"/>
    <w:link w:val="Title"/>
    <w:uiPriority w:val="1"/>
    <w:semiHidden/>
    <w:rsid w:val="001E1FA7"/>
    <w:rPr>
      <w:rFonts w:ascii="Arial Fett" w:hAnsi="Arial Fett" w:cs="Times New Roman"/>
      <w:b/>
      <w:bCs/>
      <w:smallCaps/>
      <w:sz w:val="32"/>
      <w:szCs w:val="32"/>
    </w:rPr>
  </w:style>
  <w:style w:type="character" w:customStyle="1" w:styleId="Heading1Char">
    <w:name w:val="Heading 1 Char"/>
    <w:link w:val="Heading1"/>
    <w:uiPriority w:val="19"/>
    <w:rsid w:val="00D44150"/>
    <w:rPr>
      <w:rFonts w:ascii="Arial Narrow" w:hAnsi="Arial Narrow" w:cs="Arial"/>
      <w:b/>
      <w:bCs/>
      <w:sz w:val="28"/>
      <w:szCs w:val="28"/>
      <w:lang w:eastAsia="de-DE"/>
    </w:rPr>
  </w:style>
  <w:style w:type="character" w:customStyle="1" w:styleId="Heading2Char">
    <w:name w:val="Heading 2 Char"/>
    <w:link w:val="Heading2"/>
    <w:uiPriority w:val="19"/>
    <w:rsid w:val="00D44150"/>
    <w:rPr>
      <w:rFonts w:ascii="Arial Narrow" w:hAnsi="Arial Narrow" w:cs="Arial"/>
      <w:b/>
      <w:bCs/>
      <w:sz w:val="24"/>
      <w:szCs w:val="24"/>
      <w:lang w:eastAsia="de-DE"/>
    </w:rPr>
  </w:style>
  <w:style w:type="character" w:customStyle="1" w:styleId="Heading3Char">
    <w:name w:val="Heading 3 Char"/>
    <w:link w:val="Heading3"/>
    <w:uiPriority w:val="19"/>
    <w:rsid w:val="00D44150"/>
    <w:rPr>
      <w:rFonts w:ascii="Arial Narrow" w:hAnsi="Arial Narrow" w:cs="Arial"/>
      <w:b/>
      <w:szCs w:val="18"/>
      <w:lang w:eastAsia="de-DE"/>
    </w:rPr>
  </w:style>
  <w:style w:type="character" w:customStyle="1" w:styleId="Heading4Char">
    <w:name w:val="Heading 4 Char"/>
    <w:link w:val="Heading4"/>
    <w:uiPriority w:val="19"/>
    <w:rsid w:val="00D44150"/>
    <w:rPr>
      <w:rFonts w:ascii="Arial Narrow" w:hAnsi="Arial Narrow" w:cs="Arial"/>
      <w:szCs w:val="18"/>
      <w:lang w:eastAsia="de-DE"/>
    </w:rPr>
  </w:style>
  <w:style w:type="character" w:customStyle="1" w:styleId="Heading5Char">
    <w:name w:val="Heading 5 Char"/>
    <w:link w:val="Heading5"/>
    <w:uiPriority w:val="19"/>
    <w:rsid w:val="00D44150"/>
    <w:rPr>
      <w:rFonts w:ascii="Arial Narrow" w:hAnsi="Arial Narrow" w:cs="Arial"/>
      <w:szCs w:val="18"/>
      <w:lang w:eastAsia="de-DE"/>
    </w:rPr>
  </w:style>
  <w:style w:type="character" w:customStyle="1" w:styleId="Heading6Char">
    <w:name w:val="Heading 6 Char"/>
    <w:link w:val="Heading6"/>
    <w:uiPriority w:val="19"/>
    <w:semiHidden/>
    <w:rsid w:val="001E1FA7"/>
    <w:rPr>
      <w:rFonts w:ascii="Arial Narrow" w:hAnsi="Arial Narrow" w:cs="Times New Roman"/>
      <w:bCs/>
      <w:sz w:val="18"/>
      <w:lang w:eastAsia="de-DE"/>
    </w:rPr>
  </w:style>
  <w:style w:type="character" w:customStyle="1" w:styleId="Heading7Char">
    <w:name w:val="Heading 7 Char"/>
    <w:link w:val="Heading7"/>
    <w:uiPriority w:val="19"/>
    <w:semiHidden/>
    <w:rsid w:val="001E1FA7"/>
    <w:rPr>
      <w:rFonts w:ascii="Arial Narrow" w:hAnsi="Arial Narrow" w:cs="Times New Roman"/>
      <w:sz w:val="18"/>
      <w:szCs w:val="24"/>
      <w:lang w:eastAsia="de-DE"/>
    </w:rPr>
  </w:style>
  <w:style w:type="character" w:customStyle="1" w:styleId="Heading8Char">
    <w:name w:val="Heading 8 Char"/>
    <w:link w:val="Heading8"/>
    <w:uiPriority w:val="19"/>
    <w:semiHidden/>
    <w:rsid w:val="001E1FA7"/>
    <w:rPr>
      <w:rFonts w:ascii="Arial Narrow" w:hAnsi="Arial Narrow" w:cs="Times New Roman"/>
      <w:iCs/>
      <w:sz w:val="18"/>
      <w:szCs w:val="24"/>
      <w:lang w:eastAsia="de-DE"/>
    </w:rPr>
  </w:style>
  <w:style w:type="character" w:customStyle="1" w:styleId="Heading9Char">
    <w:name w:val="Heading 9 Char"/>
    <w:link w:val="Heading9"/>
    <w:uiPriority w:val="19"/>
    <w:semiHidden/>
    <w:rsid w:val="001E1FA7"/>
    <w:rPr>
      <w:rFonts w:ascii="Arial Narrow" w:hAnsi="Arial Narrow" w:cs="Times New Roman"/>
      <w:sz w:val="18"/>
      <w:lang w:eastAsia="de-DE"/>
    </w:rPr>
  </w:style>
  <w:style w:type="paragraph" w:styleId="Subtitle">
    <w:name w:val="Subtitle"/>
    <w:basedOn w:val="Normal"/>
    <w:next w:val="Normal"/>
    <w:link w:val="SubtitleChar"/>
    <w:uiPriority w:val="2"/>
    <w:semiHidden/>
    <w:qFormat/>
    <w:rsid w:val="00E94DCD"/>
    <w:pPr>
      <w:spacing w:after="60"/>
      <w:contextualSpacing/>
      <w:outlineLvl w:val="1"/>
    </w:pPr>
    <w:rPr>
      <w:sz w:val="24"/>
    </w:rPr>
  </w:style>
  <w:style w:type="character" w:customStyle="1" w:styleId="SubtitleChar">
    <w:name w:val="Subtitle Char"/>
    <w:link w:val="Subtitle"/>
    <w:uiPriority w:val="2"/>
    <w:semiHidden/>
    <w:rsid w:val="001E1FA7"/>
    <w:rPr>
      <w:rFonts w:ascii="Arial Narrow" w:hAnsi="Arial Narrow" w:cs="Times New Roman"/>
      <w:sz w:val="24"/>
    </w:rPr>
  </w:style>
  <w:style w:type="paragraph" w:styleId="TOC1">
    <w:name w:val="toc 1"/>
    <w:basedOn w:val="Normal"/>
    <w:next w:val="Normal"/>
    <w:uiPriority w:val="30"/>
    <w:unhideWhenUsed/>
    <w:rsid w:val="00DB58D5"/>
    <w:pPr>
      <w:ind w:left="567" w:right="284" w:hanging="567"/>
    </w:pPr>
    <w:rPr>
      <w:b/>
    </w:rPr>
  </w:style>
  <w:style w:type="paragraph" w:styleId="TOC2">
    <w:name w:val="toc 2"/>
    <w:basedOn w:val="Normal"/>
    <w:next w:val="Normal"/>
    <w:uiPriority w:val="30"/>
    <w:unhideWhenUsed/>
    <w:rsid w:val="00DB58D5"/>
    <w:pPr>
      <w:ind w:left="1247" w:right="284" w:hanging="680"/>
    </w:pPr>
  </w:style>
  <w:style w:type="paragraph" w:styleId="TOC3">
    <w:name w:val="toc 3"/>
    <w:basedOn w:val="Normal"/>
    <w:next w:val="Normal"/>
    <w:uiPriority w:val="30"/>
    <w:unhideWhenUsed/>
    <w:rsid w:val="00DB58D5"/>
    <w:pPr>
      <w:ind w:left="1247" w:right="284" w:hanging="680"/>
    </w:pPr>
  </w:style>
  <w:style w:type="paragraph" w:styleId="TOC4">
    <w:name w:val="toc 4"/>
    <w:basedOn w:val="Normal"/>
    <w:next w:val="Normal"/>
    <w:autoRedefine/>
    <w:uiPriority w:val="30"/>
    <w:semiHidden/>
    <w:rsid w:val="00DB58D5"/>
    <w:pPr>
      <w:ind w:left="737" w:hanging="737"/>
    </w:pPr>
  </w:style>
  <w:style w:type="paragraph" w:styleId="TOC5">
    <w:name w:val="toc 5"/>
    <w:basedOn w:val="Normal"/>
    <w:next w:val="Normal"/>
    <w:autoRedefine/>
    <w:uiPriority w:val="30"/>
    <w:semiHidden/>
    <w:rsid w:val="00DB58D5"/>
    <w:pPr>
      <w:ind w:left="1009" w:hanging="1009"/>
    </w:pPr>
  </w:style>
  <w:style w:type="paragraph" w:styleId="TOC6">
    <w:name w:val="toc 6"/>
    <w:basedOn w:val="Normal"/>
    <w:next w:val="Normal"/>
    <w:autoRedefine/>
    <w:uiPriority w:val="30"/>
    <w:semiHidden/>
    <w:rsid w:val="00DB58D5"/>
    <w:pPr>
      <w:ind w:left="1151" w:hanging="1151"/>
    </w:pPr>
  </w:style>
  <w:style w:type="paragraph" w:styleId="TOC7">
    <w:name w:val="toc 7"/>
    <w:basedOn w:val="Normal"/>
    <w:next w:val="Normal"/>
    <w:autoRedefine/>
    <w:uiPriority w:val="30"/>
    <w:semiHidden/>
    <w:rsid w:val="00DB58D5"/>
    <w:pPr>
      <w:ind w:left="1298" w:hanging="1298"/>
    </w:pPr>
  </w:style>
  <w:style w:type="paragraph" w:styleId="TOC8">
    <w:name w:val="toc 8"/>
    <w:basedOn w:val="Normal"/>
    <w:next w:val="Normal"/>
    <w:autoRedefine/>
    <w:uiPriority w:val="30"/>
    <w:semiHidden/>
    <w:rsid w:val="00DB58D5"/>
    <w:pPr>
      <w:ind w:left="1440" w:hanging="1440"/>
    </w:pPr>
  </w:style>
  <w:style w:type="paragraph" w:styleId="TOC9">
    <w:name w:val="toc 9"/>
    <w:basedOn w:val="Normal"/>
    <w:next w:val="Normal"/>
    <w:autoRedefine/>
    <w:uiPriority w:val="30"/>
    <w:semiHidden/>
    <w:rsid w:val="00DB58D5"/>
    <w:pPr>
      <w:ind w:left="1582" w:hanging="1582"/>
    </w:pPr>
  </w:style>
  <w:style w:type="character" w:styleId="IntenseEmphasis">
    <w:name w:val="Intense Emphasis"/>
    <w:uiPriority w:val="12"/>
    <w:qFormat/>
    <w:rsid w:val="00DB58D5"/>
    <w:rPr>
      <w:b/>
      <w:bCs/>
      <w:iCs/>
      <w:caps/>
      <w:color w:val="66CC33"/>
    </w:rPr>
  </w:style>
  <w:style w:type="paragraph" w:styleId="ListParagraph">
    <w:name w:val="List Paragraph"/>
    <w:basedOn w:val="Normal"/>
    <w:uiPriority w:val="99"/>
    <w:semiHidden/>
    <w:unhideWhenUsed/>
    <w:rsid w:val="00DB58D5"/>
    <w:pPr>
      <w:ind w:left="720"/>
      <w:contextualSpacing/>
    </w:pPr>
  </w:style>
  <w:style w:type="paragraph" w:styleId="ListContinue">
    <w:name w:val="List Continue"/>
    <w:basedOn w:val="Normal"/>
    <w:uiPriority w:val="99"/>
    <w:semiHidden/>
    <w:unhideWhenUsed/>
    <w:rsid w:val="003E3705"/>
    <w:pPr>
      <w:spacing w:line="270" w:lineRule="atLeast"/>
      <w:ind w:left="1191" w:right="2552" w:hanging="794"/>
      <w:contextualSpacing/>
    </w:pPr>
    <w:rPr>
      <w:rFonts w:ascii="ATP Univers" w:hAnsi="ATP Univers"/>
      <w:sz w:val="20"/>
      <w:lang w:val="de-DE"/>
    </w:rPr>
  </w:style>
  <w:style w:type="paragraph" w:styleId="ListContinue2">
    <w:name w:val="List Continue 2"/>
    <w:basedOn w:val="Normal"/>
    <w:uiPriority w:val="99"/>
    <w:semiHidden/>
    <w:unhideWhenUsed/>
    <w:rsid w:val="003E3705"/>
    <w:pPr>
      <w:tabs>
        <w:tab w:val="left" w:pos="397"/>
      </w:tabs>
      <w:spacing w:line="270" w:lineRule="atLeast"/>
      <w:ind w:left="1985" w:right="2552" w:hanging="1191"/>
      <w:contextualSpacing/>
    </w:pPr>
    <w:rPr>
      <w:rFonts w:ascii="ATP Univers" w:hAnsi="ATP Univers"/>
      <w:sz w:val="20"/>
      <w:lang w:val="de-DE"/>
    </w:rPr>
  </w:style>
  <w:style w:type="paragraph" w:customStyle="1" w:styleId="FusszeilePfad">
    <w:name w:val="Fusszeile Pfad"/>
    <w:basedOn w:val="Footer"/>
    <w:uiPriority w:val="9"/>
    <w:qFormat/>
    <w:rsid w:val="00DB58D5"/>
    <w:pPr>
      <w:jc w:val="center"/>
    </w:pPr>
  </w:style>
  <w:style w:type="paragraph" w:customStyle="1" w:styleId="BulletpointsLevel1">
    <w:name w:val="Bulletpoints Level 1"/>
    <w:basedOn w:val="Normal"/>
    <w:uiPriority w:val="3"/>
    <w:qFormat/>
    <w:rsid w:val="00E37B1D"/>
    <w:pPr>
      <w:numPr>
        <w:numId w:val="33"/>
      </w:numPr>
      <w:tabs>
        <w:tab w:val="right" w:pos="454"/>
      </w:tabs>
      <w:spacing w:before="60"/>
    </w:pPr>
  </w:style>
  <w:style w:type="paragraph" w:customStyle="1" w:styleId="BulletpointsLevel2">
    <w:name w:val="Bulletpoints Level 2"/>
    <w:basedOn w:val="Normal"/>
    <w:uiPriority w:val="4"/>
    <w:qFormat/>
    <w:rsid w:val="00DB58D5"/>
    <w:pPr>
      <w:numPr>
        <w:ilvl w:val="1"/>
        <w:numId w:val="33"/>
      </w:numPr>
      <w:tabs>
        <w:tab w:val="clear" w:pos="680"/>
        <w:tab w:val="num" w:pos="907"/>
      </w:tabs>
      <w:ind w:left="907" w:hanging="453"/>
    </w:pPr>
  </w:style>
  <w:style w:type="paragraph" w:customStyle="1" w:styleId="Lettering">
    <w:name w:val="Lettering"/>
    <w:basedOn w:val="Normal"/>
    <w:uiPriority w:val="5"/>
    <w:qFormat/>
    <w:rsid w:val="00DB58D5"/>
    <w:pPr>
      <w:numPr>
        <w:ilvl w:val="3"/>
        <w:numId w:val="33"/>
      </w:numPr>
      <w:tabs>
        <w:tab w:val="clear" w:pos="454"/>
      </w:tabs>
      <w:spacing w:before="60"/>
    </w:pPr>
  </w:style>
  <w:style w:type="paragraph" w:customStyle="1" w:styleId="noBulletpoint">
    <w:name w:val="noBulletpoint"/>
    <w:basedOn w:val="Normal"/>
    <w:uiPriority w:val="4"/>
    <w:qFormat/>
    <w:rsid w:val="00DB58D5"/>
    <w:pPr>
      <w:numPr>
        <w:ilvl w:val="7"/>
        <w:numId w:val="33"/>
      </w:numPr>
      <w:tabs>
        <w:tab w:val="clear" w:pos="454"/>
      </w:tabs>
      <w:spacing w:before="60"/>
    </w:pPr>
  </w:style>
  <w:style w:type="paragraph" w:customStyle="1" w:styleId="Numbering">
    <w:name w:val="Numbering"/>
    <w:basedOn w:val="Normal"/>
    <w:uiPriority w:val="6"/>
    <w:qFormat/>
    <w:rsid w:val="00DB58D5"/>
    <w:pPr>
      <w:numPr>
        <w:ilvl w:val="2"/>
        <w:numId w:val="33"/>
      </w:numPr>
      <w:tabs>
        <w:tab w:val="clear" w:pos="454"/>
        <w:tab w:val="num" w:pos="1361"/>
      </w:tabs>
      <w:spacing w:before="60"/>
      <w:ind w:left="1361"/>
    </w:pPr>
  </w:style>
  <w:style w:type="paragraph" w:customStyle="1" w:styleId="SensirionSubtitle">
    <w:name w:val="Sensirion Subtitle"/>
    <w:basedOn w:val="Normal"/>
    <w:uiPriority w:val="2"/>
    <w:qFormat/>
    <w:rsid w:val="00D601C3"/>
    <w:pPr>
      <w:spacing w:line="260" w:lineRule="exact"/>
      <w:contextualSpacing/>
    </w:pPr>
    <w:rPr>
      <w:b/>
      <w:lang w:eastAsia="de-DE"/>
    </w:rPr>
  </w:style>
  <w:style w:type="paragraph" w:customStyle="1" w:styleId="SensirionTitle">
    <w:name w:val="Sensirion Title"/>
    <w:basedOn w:val="Normal"/>
    <w:uiPriority w:val="1"/>
    <w:qFormat/>
    <w:rsid w:val="00D601C3"/>
    <w:pPr>
      <w:spacing w:line="320" w:lineRule="exact"/>
      <w:contextualSpacing/>
    </w:pPr>
    <w:rPr>
      <w:b/>
      <w:sz w:val="28"/>
    </w:rPr>
  </w:style>
  <w:style w:type="paragraph" w:customStyle="1" w:styleId="Marginale">
    <w:name w:val="Marginale"/>
    <w:basedOn w:val="Normal"/>
    <w:uiPriority w:val="7"/>
    <w:qFormat/>
    <w:rsid w:val="00DB58D5"/>
    <w:pPr>
      <w:framePr w:w="2268" w:hSpace="567" w:wrap="around" w:vAnchor="text" w:hAnchor="text" w:xAlign="right" w:y="1"/>
    </w:pPr>
    <w:rPr>
      <w:color w:val="29A30A"/>
      <w:sz w:val="20"/>
    </w:rPr>
  </w:style>
  <w:style w:type="paragraph" w:customStyle="1" w:styleId="MarginaleText">
    <w:name w:val="Marginale Text"/>
    <w:basedOn w:val="Normal"/>
    <w:uiPriority w:val="8"/>
    <w:qFormat/>
    <w:rsid w:val="00DB58D5"/>
    <w:pPr>
      <w:ind w:right="2835"/>
    </w:pPr>
  </w:style>
  <w:style w:type="paragraph" w:styleId="TableofFigures">
    <w:name w:val="table of figures"/>
    <w:basedOn w:val="Normal"/>
    <w:next w:val="Normal"/>
    <w:uiPriority w:val="31"/>
    <w:unhideWhenUsed/>
    <w:rsid w:val="00DB58D5"/>
    <w:pPr>
      <w:ind w:right="284"/>
    </w:pPr>
  </w:style>
  <w:style w:type="paragraph" w:styleId="Quote">
    <w:name w:val="Quote"/>
    <w:basedOn w:val="Normal"/>
    <w:next w:val="Normal"/>
    <w:link w:val="QuoteChar"/>
    <w:uiPriority w:val="99"/>
    <w:semiHidden/>
    <w:rsid w:val="00DB58D5"/>
    <w:rPr>
      <w:i/>
      <w:iCs/>
      <w:color w:val="000000"/>
    </w:rPr>
  </w:style>
  <w:style w:type="character" w:customStyle="1" w:styleId="QuoteChar">
    <w:name w:val="Quote Char"/>
    <w:link w:val="Quote"/>
    <w:uiPriority w:val="99"/>
    <w:semiHidden/>
    <w:rsid w:val="00D44150"/>
    <w:rPr>
      <w:rFonts w:ascii="Arial Narrow" w:hAnsi="Arial Narrow" w:cs="Times New Roman"/>
      <w:i/>
      <w:iCs/>
      <w:color w:val="000000"/>
    </w:rPr>
  </w:style>
  <w:style w:type="paragraph" w:styleId="EndnoteText">
    <w:name w:val="endnote text"/>
    <w:basedOn w:val="Normal"/>
    <w:link w:val="EndnoteTextChar"/>
    <w:uiPriority w:val="49"/>
    <w:semiHidden/>
    <w:unhideWhenUsed/>
    <w:rsid w:val="00DB58D5"/>
    <w:rPr>
      <w:sz w:val="20"/>
    </w:rPr>
  </w:style>
  <w:style w:type="character" w:customStyle="1" w:styleId="EndnoteTextChar">
    <w:name w:val="Endnote Text Char"/>
    <w:link w:val="EndnoteText"/>
    <w:uiPriority w:val="49"/>
    <w:semiHidden/>
    <w:rsid w:val="001E1FA7"/>
    <w:rPr>
      <w:rFonts w:ascii="Arial Narrow" w:hAnsi="Arial Narrow" w:cs="Times New Roman"/>
      <w:sz w:val="20"/>
    </w:rPr>
  </w:style>
  <w:style w:type="character" w:styleId="EndnoteReference">
    <w:name w:val="endnote reference"/>
    <w:uiPriority w:val="49"/>
    <w:semiHidden/>
    <w:unhideWhenUsed/>
    <w:rsid w:val="00DB58D5"/>
    <w:rPr>
      <w:color w:val="auto"/>
      <w:vertAlign w:val="superscript"/>
    </w:rPr>
  </w:style>
  <w:style w:type="paragraph" w:styleId="FootnoteText">
    <w:name w:val="footnote text"/>
    <w:basedOn w:val="Normal"/>
    <w:link w:val="FootnoteTextChar"/>
    <w:uiPriority w:val="49"/>
    <w:semiHidden/>
    <w:unhideWhenUsed/>
    <w:rsid w:val="00DB58D5"/>
    <w:rPr>
      <w:sz w:val="20"/>
    </w:rPr>
  </w:style>
  <w:style w:type="character" w:customStyle="1" w:styleId="FootnoteTextChar">
    <w:name w:val="Footnote Text Char"/>
    <w:link w:val="FootnoteText"/>
    <w:uiPriority w:val="49"/>
    <w:semiHidden/>
    <w:rsid w:val="001E1FA7"/>
    <w:rPr>
      <w:rFonts w:ascii="Arial Narrow" w:hAnsi="Arial Narrow" w:cs="Times New Roman"/>
      <w:sz w:val="20"/>
    </w:rPr>
  </w:style>
  <w:style w:type="character" w:styleId="FootnoteReference">
    <w:name w:val="footnote reference"/>
    <w:uiPriority w:val="49"/>
    <w:semiHidden/>
    <w:unhideWhenUsed/>
    <w:rsid w:val="00DB58D5"/>
    <w:rPr>
      <w:color w:val="auto"/>
      <w:vertAlign w:val="superscript"/>
    </w:rPr>
  </w:style>
  <w:style w:type="table" w:styleId="LightShading-Accent2">
    <w:name w:val="Light Shading Accent 2"/>
    <w:aliases w:val="SEN: Tabelle warm grey"/>
    <w:basedOn w:val="TableNormal"/>
    <w:uiPriority w:val="60"/>
    <w:rsid w:val="00DB58D5"/>
    <w:tblPr>
      <w:tblStyleRowBandSize w:val="1"/>
      <w:tblStyleColBandSize w:val="1"/>
      <w:tblInd w:w="0" w:type="dxa"/>
      <w:tblBorders>
        <w:top w:val="single" w:sz="8" w:space="0" w:color="C8BBBB"/>
        <w:bottom w:val="single" w:sz="8" w:space="0" w:color="C8BBBB"/>
      </w:tblBorders>
      <w:tblCellMar>
        <w:top w:w="28" w:type="dxa"/>
        <w:left w:w="0" w:type="dxa"/>
        <w:bottom w:w="28" w:type="dxa"/>
        <w:right w:w="0" w:type="dxa"/>
      </w:tblCellMar>
    </w:tblPr>
    <w:tblStylePr w:type="firstRow">
      <w:pPr>
        <w:spacing w:before="0" w:after="0" w:line="240" w:lineRule="auto"/>
      </w:pPr>
      <w:rPr>
        <w:b/>
        <w:bCs/>
      </w:rPr>
      <w:tblPr/>
      <w:tcPr>
        <w:tcBorders>
          <w:top w:val="single" w:sz="8" w:space="0" w:color="C8BBBB"/>
          <w:left w:val="nil"/>
          <w:bottom w:val="single" w:sz="8" w:space="0" w:color="C8BBBB"/>
          <w:right w:val="nil"/>
          <w:insideH w:val="nil"/>
          <w:insideV w:val="nil"/>
        </w:tcBorders>
      </w:tcPr>
    </w:tblStylePr>
    <w:tblStylePr w:type="lastRow">
      <w:pPr>
        <w:spacing w:before="0" w:after="0" w:line="240" w:lineRule="auto"/>
      </w:pPr>
      <w:rPr>
        <w:b w:val="0"/>
        <w:bCs/>
      </w:rPr>
      <w:tblPr/>
      <w:tcPr>
        <w:tcBorders>
          <w:top w:val="nil"/>
          <w:left w:val="nil"/>
          <w:bottom w:val="single" w:sz="8" w:space="0" w:color="C8BBBB"/>
          <w:right w:val="nil"/>
          <w:insideH w:val="nil"/>
          <w:insideV w:val="nil"/>
        </w:tcBorders>
      </w:tcPr>
    </w:tblStylePr>
    <w:tblStylePr w:type="firstCol">
      <w:rPr>
        <w:b w:val="0"/>
        <w:bCs/>
      </w:rPr>
    </w:tblStylePr>
    <w:tblStylePr w:type="lastCol">
      <w:rPr>
        <w:b/>
        <w:bCs/>
      </w:rPr>
    </w:tblStylePr>
    <w:tblStylePr w:type="band1Horz">
      <w:tblPr/>
      <w:tcPr>
        <w:tcBorders>
          <w:left w:val="nil"/>
          <w:right w:val="nil"/>
          <w:insideH w:val="nil"/>
          <w:insideV w:val="nil"/>
        </w:tcBorders>
        <w:shd w:val="clear" w:color="auto" w:fill="FAF8F8"/>
      </w:tcPr>
    </w:tblStylePr>
  </w:style>
  <w:style w:type="paragraph" w:styleId="TOCHeading">
    <w:name w:val="TOC Heading"/>
    <w:basedOn w:val="Heading1"/>
    <w:next w:val="Normal"/>
    <w:uiPriority w:val="29"/>
    <w:rsid w:val="00DB58D5"/>
    <w:pPr>
      <w:keepLines/>
      <w:numPr>
        <w:numId w:val="0"/>
      </w:numPr>
      <w:spacing w:before="240" w:line="240" w:lineRule="auto"/>
      <w:outlineLvl w:val="9"/>
    </w:pPr>
    <w:rPr>
      <w:rFonts w:cs="Times New Roman"/>
      <w:bCs w:val="0"/>
    </w:rPr>
  </w:style>
  <w:style w:type="table" w:styleId="MediumList1-Accent2">
    <w:name w:val="Medium List 1 Accent 2"/>
    <w:basedOn w:val="TableNormal"/>
    <w:uiPriority w:val="65"/>
    <w:rsid w:val="00DB58D5"/>
    <w:rPr>
      <w:color w:val="000000"/>
    </w:rPr>
    <w:tblPr>
      <w:tblStyleRowBandSize w:val="1"/>
      <w:tblStyleColBandSize w:val="1"/>
      <w:tblInd w:w="0" w:type="dxa"/>
      <w:tblBorders>
        <w:top w:val="single" w:sz="8" w:space="0" w:color="EBE6E6"/>
        <w:bottom w:val="single" w:sz="8" w:space="0" w:color="EBE6E6"/>
      </w:tblBorders>
      <w:tblCellMar>
        <w:top w:w="0" w:type="dxa"/>
        <w:left w:w="108" w:type="dxa"/>
        <w:bottom w:w="0" w:type="dxa"/>
        <w:right w:w="108" w:type="dxa"/>
      </w:tblCellMar>
    </w:tblPr>
    <w:tblStylePr w:type="firstRow">
      <w:rPr>
        <w:rFonts w:ascii="Arial Narrow" w:eastAsia="Times New Roman" w:hAnsi="Arial Narrow" w:cs="Times New Roman"/>
      </w:rPr>
      <w:tblPr/>
      <w:tcPr>
        <w:tcBorders>
          <w:top w:val="nil"/>
          <w:bottom w:val="single" w:sz="8" w:space="0" w:color="EBE6E6"/>
        </w:tcBorders>
      </w:tcPr>
    </w:tblStylePr>
    <w:tblStylePr w:type="lastRow">
      <w:rPr>
        <w:b/>
        <w:bCs/>
        <w:color w:val="000000"/>
      </w:rPr>
      <w:tblPr/>
      <w:tcPr>
        <w:tcBorders>
          <w:top w:val="single" w:sz="8" w:space="0" w:color="EBE6E6"/>
          <w:bottom w:val="single" w:sz="8" w:space="0" w:color="EBE6E6"/>
        </w:tcBorders>
      </w:tcPr>
    </w:tblStylePr>
    <w:tblStylePr w:type="firstCol">
      <w:rPr>
        <w:b/>
        <w:bCs/>
      </w:rPr>
    </w:tblStylePr>
    <w:tblStylePr w:type="lastCol">
      <w:rPr>
        <w:b/>
        <w:bCs/>
      </w:rPr>
      <w:tblPr/>
      <w:tcPr>
        <w:tcBorders>
          <w:top w:val="single" w:sz="8" w:space="0" w:color="EBE6E6"/>
          <w:bottom w:val="single" w:sz="8" w:space="0" w:color="EBE6E6"/>
        </w:tcBorders>
      </w:tcPr>
    </w:tblStylePr>
    <w:tblStylePr w:type="band1Vert">
      <w:tblPr/>
      <w:tcPr>
        <w:shd w:val="clear" w:color="auto" w:fill="FAF8F8"/>
      </w:tcPr>
    </w:tblStylePr>
    <w:tblStylePr w:type="band1Horz">
      <w:tblPr/>
      <w:tcPr>
        <w:shd w:val="clear" w:color="auto" w:fill="FAF8F8"/>
      </w:tcPr>
    </w:tblStylePr>
  </w:style>
  <w:style w:type="character" w:styleId="PageNumber">
    <w:name w:val="page number"/>
    <w:basedOn w:val="DefaultParagraphFont"/>
    <w:uiPriority w:val="15"/>
    <w:semiHidden/>
    <w:rsid w:val="00DB58D5"/>
  </w:style>
  <w:style w:type="table" w:customStyle="1" w:styleId="SENTabellegreen">
    <w:name w:val="SEN: Tabelle green"/>
    <w:basedOn w:val="TableNormal"/>
    <w:uiPriority w:val="60"/>
    <w:rsid w:val="00DB58D5"/>
    <w:tblPr>
      <w:tblStyleRowBandSize w:val="1"/>
      <w:tblStyleColBandSize w:val="1"/>
      <w:tblInd w:w="0" w:type="dxa"/>
      <w:tblBorders>
        <w:top w:val="single" w:sz="8" w:space="0" w:color="66CC33"/>
        <w:bottom w:val="single" w:sz="8" w:space="0" w:color="66CC33"/>
      </w:tblBorders>
      <w:tblCellMar>
        <w:top w:w="28" w:type="dxa"/>
        <w:left w:w="0" w:type="dxa"/>
        <w:bottom w:w="28" w:type="dxa"/>
        <w:right w:w="0" w:type="dxa"/>
      </w:tblCellMar>
    </w:tblPr>
    <w:tblStylePr w:type="firstRow">
      <w:pPr>
        <w:spacing w:before="0" w:after="0" w:line="240" w:lineRule="auto"/>
      </w:pPr>
      <w:rPr>
        <w:b/>
        <w:bCs/>
      </w:rPr>
      <w:tblPr/>
      <w:tcPr>
        <w:tcBorders>
          <w:top w:val="single" w:sz="8" w:space="0" w:color="66CC33"/>
          <w:left w:val="nil"/>
          <w:bottom w:val="single" w:sz="8" w:space="0" w:color="66CC33"/>
          <w:right w:val="nil"/>
          <w:insideH w:val="nil"/>
          <w:insideV w:val="nil"/>
        </w:tcBorders>
      </w:tcPr>
    </w:tblStylePr>
    <w:tblStylePr w:type="lastRow">
      <w:pPr>
        <w:spacing w:before="0" w:after="0" w:line="240" w:lineRule="auto"/>
      </w:pPr>
      <w:rPr>
        <w:b w:val="0"/>
        <w:bCs/>
      </w:rPr>
      <w:tblPr/>
      <w:tcPr>
        <w:tcBorders>
          <w:top w:val="single" w:sz="8" w:space="0" w:color="66CC33"/>
          <w:left w:val="nil"/>
          <w:bottom w:val="single" w:sz="8" w:space="0" w:color="66CC33"/>
          <w:right w:val="nil"/>
          <w:insideH w:val="nil"/>
          <w:insideV w:val="nil"/>
        </w:tcBorders>
      </w:tcPr>
    </w:tblStylePr>
    <w:tblStylePr w:type="firstCol">
      <w:rPr>
        <w:b w:val="0"/>
        <w:bCs/>
      </w:rPr>
    </w:tblStylePr>
    <w:tblStylePr w:type="lastCol">
      <w:rPr>
        <w:b/>
        <w:bCs/>
      </w:rPr>
    </w:tblStylePr>
    <w:tblStylePr w:type="band1Horz">
      <w:tblPr/>
      <w:tcPr>
        <w:tcBorders>
          <w:left w:val="nil"/>
          <w:right w:val="nil"/>
          <w:insideH w:val="nil"/>
          <w:insideV w:val="nil"/>
        </w:tcBorders>
        <w:shd w:val="clear" w:color="auto" w:fill="D9F2CC"/>
      </w:tcPr>
    </w:tblStylePr>
  </w:style>
  <w:style w:type="table" w:customStyle="1" w:styleId="SENTabellegreyborders">
    <w:name w:val="SEN: Tabelle grey  borders"/>
    <w:basedOn w:val="TableNormal"/>
    <w:uiPriority w:val="60"/>
    <w:rsid w:val="00DB58D5"/>
    <w:pPr>
      <w:ind w:left="57" w:right="57"/>
    </w:pPr>
    <w:tblPr>
      <w:tblStyleRowBandSize w:val="1"/>
      <w:tblStyleColBandSize w:val="1"/>
      <w:tblInd w:w="0" w:type="dxa"/>
      <w:tblBorders>
        <w:top w:val="single" w:sz="4" w:space="0" w:color="C8BBBB"/>
        <w:left w:val="single" w:sz="4" w:space="0" w:color="C8BBBB"/>
        <w:bottom w:val="single" w:sz="4" w:space="0" w:color="C8BBBB"/>
        <w:right w:val="single" w:sz="4" w:space="0" w:color="C8BBBB"/>
        <w:insideH w:val="single" w:sz="4" w:space="0" w:color="C8BBBB"/>
        <w:insideV w:val="single" w:sz="4" w:space="0" w:color="C8BBBB"/>
      </w:tblBorders>
      <w:tblCellMar>
        <w:top w:w="28" w:type="dxa"/>
        <w:left w:w="0" w:type="dxa"/>
        <w:bottom w:w="28" w:type="dxa"/>
        <w:right w:w="0" w:type="dxa"/>
      </w:tblCellMar>
    </w:tblPr>
    <w:tblStylePr w:type="firstRow">
      <w:pPr>
        <w:spacing w:before="0" w:after="0" w:line="240" w:lineRule="auto"/>
      </w:pPr>
      <w:rPr>
        <w:b/>
        <w:bCs/>
        <w:color w:val="auto"/>
      </w:rPr>
      <w:tblPr/>
      <w:tcPr>
        <w:shd w:val="clear" w:color="auto" w:fill="EBE6E6"/>
      </w:tcPr>
    </w:tblStylePr>
    <w:tblStylePr w:type="lastRow">
      <w:pPr>
        <w:spacing w:before="0" w:after="0" w:line="240" w:lineRule="auto"/>
      </w:pPr>
      <w:rPr>
        <w:b w:val="0"/>
        <w:bCs/>
      </w:rPr>
      <w:tblPr/>
      <w:tcPr>
        <w:tcBorders>
          <w:top w:val="single" w:sz="4" w:space="0" w:color="29A30A"/>
          <w:left w:val="single" w:sz="4" w:space="0" w:color="29A30A"/>
          <w:bottom w:val="single" w:sz="4" w:space="0" w:color="29A30A"/>
          <w:right w:val="single" w:sz="4" w:space="0" w:color="29A30A"/>
          <w:insideH w:val="single" w:sz="4" w:space="0" w:color="29A30A"/>
          <w:insideV w:val="single" w:sz="4" w:space="0" w:color="29A30A"/>
        </w:tcBorders>
      </w:tcPr>
    </w:tblStylePr>
    <w:tblStylePr w:type="firstCol">
      <w:rPr>
        <w:b w:val="0"/>
        <w:bCs/>
      </w:rPr>
    </w:tblStylePr>
    <w:tblStylePr w:type="lastCol">
      <w:rPr>
        <w:b w:val="0"/>
        <w:bCs/>
      </w:rPr>
    </w:tblStylePr>
  </w:style>
  <w:style w:type="table" w:customStyle="1" w:styleId="SENTabelleneutral">
    <w:name w:val="SEN: Tabelle neutral"/>
    <w:basedOn w:val="TableNormal"/>
    <w:uiPriority w:val="99"/>
    <w:qFormat/>
    <w:rsid w:val="00DB58D5"/>
    <w:pPr>
      <w:ind w:left="57" w:right="57"/>
    </w:pPr>
    <w:tblPr>
      <w:tblInd w:w="0" w:type="dxa"/>
      <w:tblBorders>
        <w:top w:val="single" w:sz="4" w:space="0" w:color="C8BBBB"/>
        <w:left w:val="single" w:sz="4" w:space="0" w:color="C8BBBB"/>
        <w:bottom w:val="single" w:sz="4" w:space="0" w:color="C8BBBB"/>
        <w:right w:val="single" w:sz="4" w:space="0" w:color="C8BBBB"/>
        <w:insideH w:val="single" w:sz="4" w:space="0" w:color="C8BBBB"/>
        <w:insideV w:val="single" w:sz="4" w:space="0" w:color="C8BBBB"/>
      </w:tblBorders>
      <w:tblCellMar>
        <w:top w:w="28" w:type="dxa"/>
        <w:left w:w="0" w:type="dxa"/>
        <w:bottom w:w="28" w:type="dxa"/>
        <w:right w:w="0" w:type="dxa"/>
      </w:tblCellMar>
    </w:tblPr>
    <w:tblStylePr w:type="firstRow">
      <w:rPr>
        <w:b w:val="0"/>
      </w:rPr>
    </w:tblStylePr>
  </w:style>
  <w:style w:type="numbering" w:customStyle="1" w:styleId="SensirionListe">
    <w:name w:val="Sensirion Liste"/>
    <w:uiPriority w:val="99"/>
    <w:rsid w:val="00DB58D5"/>
    <w:pPr>
      <w:numPr>
        <w:numId w:val="33"/>
      </w:numPr>
    </w:pPr>
  </w:style>
  <w:style w:type="paragraph" w:styleId="BalloonText">
    <w:name w:val="Balloon Text"/>
    <w:basedOn w:val="Normal"/>
    <w:link w:val="BalloonTextChar"/>
    <w:uiPriority w:val="99"/>
    <w:semiHidden/>
    <w:unhideWhenUsed/>
    <w:rsid w:val="00DB58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441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871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06ABAF-97B9-DF49-8825-48D42A40B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1361</Words>
  <Characters>7760</Characters>
  <Application>Microsoft Macintosh Word</Application>
  <DocSecurity>0</DocSecurity>
  <Lines>64</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9103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2017-01-11T13:26:00Z</dcterms:created>
  <dcterms:modified xsi:type="dcterms:W3CDTF">2017-01-11T13:26:00Z</dcterms:modified>
</cp:coreProperties>
</file>